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C104E">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w:t>
      </w:r>
      <w:r>
        <w:rPr>
          <w:rFonts w:hint="eastAsia" w:ascii="Arial" w:hAnsi="Arial" w:eastAsia="宋体" w:cs="Arial"/>
          <w:b/>
          <w:kern w:val="0"/>
          <w:sz w:val="24"/>
          <w:szCs w:val="24"/>
          <w:lang w:val="en-US" w:eastAsia="zh-CN"/>
        </w:rPr>
        <w:t>9</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501049</w:t>
      </w:r>
      <w:bookmarkStart w:id="0" w:name="_GoBack"/>
      <w:bookmarkEnd w:id="0"/>
    </w:p>
    <w:p w14:paraId="66A15FEE">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Athens, GR, 17</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-21</w:t>
      </w:r>
      <w:r>
        <w:rPr>
          <w:rFonts w:hint="eastAsia" w:ascii="Arial" w:hAnsi="Arial" w:eastAsia="宋体" w:cs="Arial"/>
          <w:b/>
          <w:bCs/>
          <w:kern w:val="0"/>
          <w:sz w:val="24"/>
          <w:szCs w:val="24"/>
          <w:vertAlign w:val="superscript"/>
          <w:lang w:val="en-US" w:eastAsia="zh-CN"/>
        </w:rPr>
        <w:t>st</w:t>
      </w:r>
      <w:r>
        <w:rPr>
          <w:rFonts w:hint="eastAsia" w:ascii="Arial" w:hAnsi="Arial" w:eastAsia="宋体" w:cs="Arial"/>
          <w:b/>
          <w:bCs/>
          <w:kern w:val="0"/>
          <w:sz w:val="24"/>
          <w:szCs w:val="24"/>
          <w:lang w:val="en-US" w:eastAsia="zh-CN"/>
        </w:rPr>
        <w:t xml:space="preserve"> February 2025</w:t>
      </w:r>
    </w:p>
    <w:p w14:paraId="5B5BC2C6">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083F8DDE">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1.3</w:t>
      </w:r>
    </w:p>
    <w:p w14:paraId="5BD6B871">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AD873E8">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NW side data collection</w:t>
      </w:r>
    </w:p>
    <w:p w14:paraId="6A96620B">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14:paraId="2DCC0A67">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7C06AE45">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55BDD7B4">
      <w:pPr>
        <w:widowControl/>
        <w:spacing w:after="180"/>
        <w:rPr>
          <w:rFonts w:hint="eastAsia" w:ascii="Arial" w:hAnsi="Arial" w:cs="Arial"/>
          <w:sz w:val="20"/>
          <w:szCs w:val="20"/>
        </w:rPr>
      </w:pPr>
      <w:r>
        <w:rPr>
          <w:rFonts w:hint="eastAsia" w:ascii="Arial" w:hAnsi="Arial" w:cs="Arial"/>
          <w:sz w:val="20"/>
          <w:szCs w:val="20"/>
          <w:lang w:val="en-US" w:eastAsia="zh-CN"/>
        </w:rPr>
        <w:t>In last meeting [1], RAN2 discussed the NW side data collection and achieved the following agreements</w:t>
      </w:r>
      <w:r>
        <w:rPr>
          <w:rFonts w:hint="eastAsia" w:ascii="Arial" w:hAnsi="Arial" w:cs="Arial"/>
          <w:sz w:val="20"/>
          <w:szCs w:val="20"/>
        </w:rPr>
        <w:t>.</w:t>
      </w:r>
    </w:p>
    <w:tbl>
      <w:tblPr>
        <w:tblStyle w:val="16"/>
        <w:tblW w:w="0" w:type="auto"/>
        <w:tblInd w:w="1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2"/>
      </w:tblGrid>
      <w:tr w14:paraId="1E350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72" w:type="dxa"/>
          </w:tcPr>
          <w:p w14:paraId="61C587FF">
            <w:pPr>
              <w:pStyle w:val="26"/>
              <w:ind w:left="363"/>
              <w:rPr>
                <w:rFonts w:hint="default" w:ascii="Arial" w:hAnsi="Arial" w:cs="Arial"/>
                <w:b/>
                <w:bCs/>
                <w:sz w:val="20"/>
                <w:szCs w:val="20"/>
              </w:rPr>
            </w:pPr>
            <w:r>
              <w:rPr>
                <w:rFonts w:hint="default" w:ascii="Arial" w:hAnsi="Arial" w:cs="Arial"/>
                <w:b/>
                <w:bCs/>
                <w:sz w:val="20"/>
                <w:szCs w:val="20"/>
              </w:rPr>
              <w:t>Agreements on NW side data collection</w:t>
            </w:r>
          </w:p>
          <w:p w14:paraId="57620DC0">
            <w:pPr>
              <w:pStyle w:val="33"/>
              <w:keepNext w:val="0"/>
              <w:keepLines w:val="0"/>
              <w:pageBreakBefore w:val="0"/>
              <w:widowControl w:val="0"/>
              <w:numPr>
                <w:ilvl w:val="0"/>
                <w:numId w:val="6"/>
              </w:numPr>
              <w:tabs>
                <w:tab w:val="left" w:pos="1352"/>
              </w:tabs>
              <w:kinsoku/>
              <w:wordWrap/>
              <w:overflowPunct/>
              <w:topLinePunct w:val="0"/>
              <w:autoSpaceDE/>
              <w:autoSpaceDN/>
              <w:bidi w:val="0"/>
              <w:adjustRightInd/>
              <w:snapToGrid/>
              <w:ind w:left="360" w:hanging="57"/>
              <w:textAlignment w:val="auto"/>
              <w:rPr>
                <w:rFonts w:hint="default" w:ascii="Arial" w:hAnsi="Arial" w:cs="Arial"/>
                <w:b w:val="0"/>
                <w:bCs/>
                <w:sz w:val="20"/>
                <w:szCs w:val="20"/>
              </w:rPr>
            </w:pPr>
            <w:r>
              <w:rPr>
                <w:rFonts w:hint="default" w:ascii="Arial" w:hAnsi="Arial" w:cs="Arial"/>
                <w:b w:val="0"/>
                <w:bCs/>
                <w:sz w:val="20"/>
                <w:szCs w:val="20"/>
              </w:rPr>
              <w:t>Focus on the following three radio condition event based logging</w:t>
            </w:r>
          </w:p>
          <w:p w14:paraId="5CB965C1">
            <w:pPr>
              <w:pStyle w:val="33"/>
              <w:keepNext w:val="0"/>
              <w:keepLines w:val="0"/>
              <w:pageBreakBefore w:val="0"/>
              <w:widowControl w:val="0"/>
              <w:numPr>
                <w:ilvl w:val="2"/>
                <w:numId w:val="6"/>
              </w:numPr>
              <w:tabs>
                <w:tab w:val="left" w:pos="1352"/>
                <w:tab w:val="clear" w:pos="1619"/>
              </w:tabs>
              <w:kinsoku/>
              <w:wordWrap/>
              <w:overflowPunct/>
              <w:topLinePunct w:val="0"/>
              <w:autoSpaceDE/>
              <w:autoSpaceDN/>
              <w:bidi w:val="0"/>
              <w:adjustRightInd/>
              <w:snapToGrid/>
              <w:ind w:left="901" w:hanging="57"/>
              <w:textAlignment w:val="auto"/>
              <w:rPr>
                <w:rFonts w:hint="default" w:ascii="Arial" w:hAnsi="Arial" w:cs="Arial"/>
                <w:b w:val="0"/>
                <w:bCs/>
                <w:sz w:val="20"/>
                <w:szCs w:val="20"/>
              </w:rPr>
            </w:pPr>
            <w:r>
              <w:rPr>
                <w:rFonts w:hint="default" w:ascii="Arial" w:hAnsi="Arial" w:cs="Arial"/>
                <w:b w:val="0"/>
                <w:bCs/>
                <w:sz w:val="20"/>
                <w:szCs w:val="20"/>
              </w:rPr>
              <w:t>L3 serving cell measurement based (e.g. X1/X2 similar to A1/A2)</w:t>
            </w:r>
          </w:p>
          <w:p w14:paraId="3E13B266">
            <w:pPr>
              <w:pStyle w:val="33"/>
              <w:keepNext w:val="0"/>
              <w:keepLines w:val="0"/>
              <w:pageBreakBefore w:val="0"/>
              <w:widowControl w:val="0"/>
              <w:numPr>
                <w:ilvl w:val="2"/>
                <w:numId w:val="6"/>
              </w:numPr>
              <w:tabs>
                <w:tab w:val="left" w:pos="1352"/>
                <w:tab w:val="clear" w:pos="1619"/>
              </w:tabs>
              <w:kinsoku/>
              <w:wordWrap/>
              <w:overflowPunct/>
              <w:topLinePunct w:val="0"/>
              <w:autoSpaceDE/>
              <w:autoSpaceDN/>
              <w:bidi w:val="0"/>
              <w:adjustRightInd/>
              <w:snapToGrid/>
              <w:ind w:left="901" w:hanging="57"/>
              <w:textAlignment w:val="auto"/>
              <w:rPr>
                <w:rFonts w:hint="default" w:ascii="Arial" w:hAnsi="Arial" w:cs="Arial"/>
                <w:b w:val="0"/>
                <w:bCs/>
                <w:sz w:val="20"/>
                <w:szCs w:val="20"/>
              </w:rPr>
            </w:pPr>
            <w:r>
              <w:rPr>
                <w:rFonts w:hint="default" w:ascii="Arial" w:hAnsi="Arial" w:cs="Arial"/>
                <w:b w:val="0"/>
                <w:bCs/>
                <w:sz w:val="20"/>
                <w:szCs w:val="20"/>
              </w:rPr>
              <w:t>Beam based events (e.g. beam becomes top-1 beam and number of measurements is less than configured value)</w:t>
            </w:r>
          </w:p>
          <w:p w14:paraId="018E8606">
            <w:pPr>
              <w:pStyle w:val="33"/>
              <w:keepNext w:val="0"/>
              <w:keepLines w:val="0"/>
              <w:pageBreakBefore w:val="0"/>
              <w:widowControl w:val="0"/>
              <w:numPr>
                <w:ilvl w:val="2"/>
                <w:numId w:val="6"/>
              </w:numPr>
              <w:tabs>
                <w:tab w:val="left" w:pos="1352"/>
                <w:tab w:val="clear" w:pos="1619"/>
              </w:tabs>
              <w:kinsoku/>
              <w:wordWrap/>
              <w:overflowPunct/>
              <w:topLinePunct w:val="0"/>
              <w:autoSpaceDE/>
              <w:autoSpaceDN/>
              <w:bidi w:val="0"/>
              <w:adjustRightInd/>
              <w:snapToGrid/>
              <w:ind w:left="901" w:hanging="57"/>
              <w:textAlignment w:val="auto"/>
              <w:rPr>
                <w:rFonts w:hint="default" w:ascii="Arial" w:hAnsi="Arial" w:cs="Arial"/>
                <w:b w:val="0"/>
                <w:bCs/>
                <w:sz w:val="20"/>
                <w:szCs w:val="20"/>
              </w:rPr>
            </w:pPr>
            <w:r>
              <w:rPr>
                <w:rFonts w:hint="default" w:ascii="Arial" w:hAnsi="Arial" w:cs="Arial"/>
                <w:b w:val="0"/>
                <w:bCs/>
                <w:sz w:val="20"/>
                <w:szCs w:val="20"/>
              </w:rPr>
              <w:t xml:space="preserve">L1 beam level measurement </w:t>
            </w:r>
          </w:p>
          <w:p w14:paraId="13C1FEC6">
            <w:pPr>
              <w:pStyle w:val="33"/>
              <w:keepNext w:val="0"/>
              <w:keepLines w:val="0"/>
              <w:pageBreakBefore w:val="0"/>
              <w:widowControl w:val="0"/>
              <w:numPr>
                <w:ilvl w:val="0"/>
                <w:numId w:val="6"/>
              </w:numPr>
              <w:tabs>
                <w:tab w:val="left" w:pos="1352"/>
              </w:tabs>
              <w:kinsoku/>
              <w:wordWrap/>
              <w:overflowPunct/>
              <w:topLinePunct w:val="0"/>
              <w:autoSpaceDE/>
              <w:autoSpaceDN/>
              <w:bidi w:val="0"/>
              <w:adjustRightInd/>
              <w:snapToGrid/>
              <w:ind w:left="360" w:hanging="57"/>
              <w:textAlignment w:val="auto"/>
              <w:rPr>
                <w:rFonts w:hint="default" w:ascii="Arial" w:hAnsi="Arial" w:cs="Arial"/>
                <w:b w:val="0"/>
                <w:bCs/>
                <w:sz w:val="20"/>
                <w:szCs w:val="20"/>
              </w:rPr>
            </w:pPr>
            <w:r>
              <w:rPr>
                <w:rFonts w:hint="default" w:ascii="Arial" w:hAnsi="Arial" w:cs="Arial"/>
                <w:b w:val="0"/>
                <w:bCs/>
                <w:sz w:val="20"/>
                <w:szCs w:val="20"/>
              </w:rPr>
              <w:t xml:space="preserve">Measurements on aperiodic CSI resources are not reported for NW sided data collection.   </w:t>
            </w:r>
          </w:p>
          <w:p w14:paraId="07524CCA">
            <w:pPr>
              <w:pStyle w:val="33"/>
              <w:keepNext w:val="0"/>
              <w:keepLines w:val="0"/>
              <w:pageBreakBefore w:val="0"/>
              <w:widowControl w:val="0"/>
              <w:numPr>
                <w:ilvl w:val="0"/>
                <w:numId w:val="6"/>
              </w:numPr>
              <w:tabs>
                <w:tab w:val="left" w:pos="1352"/>
              </w:tabs>
              <w:kinsoku/>
              <w:wordWrap/>
              <w:overflowPunct/>
              <w:topLinePunct w:val="0"/>
              <w:autoSpaceDE/>
              <w:autoSpaceDN/>
              <w:bidi w:val="0"/>
              <w:adjustRightInd/>
              <w:snapToGrid/>
              <w:ind w:left="360" w:hanging="57"/>
              <w:textAlignment w:val="auto"/>
              <w:rPr>
                <w:rFonts w:hint="default" w:ascii="Arial" w:hAnsi="Arial" w:cs="Arial"/>
                <w:b w:val="0"/>
                <w:bCs/>
                <w:i/>
                <w:iCs/>
                <w:sz w:val="20"/>
                <w:szCs w:val="20"/>
              </w:rPr>
            </w:pPr>
            <w:r>
              <w:rPr>
                <w:rFonts w:hint="default" w:ascii="Arial" w:hAnsi="Arial" w:cs="Arial"/>
                <w:b w:val="0"/>
                <w:bCs/>
                <w:sz w:val="20"/>
                <w:szCs w:val="20"/>
              </w:rPr>
              <w:t xml:space="preserve">Data collection is controlled by the network.   The UE will not autonomously stop when low power state is detected.  </w:t>
            </w:r>
          </w:p>
          <w:p w14:paraId="1DB3D0AB">
            <w:pPr>
              <w:pStyle w:val="33"/>
              <w:keepNext w:val="0"/>
              <w:keepLines w:val="0"/>
              <w:pageBreakBefore w:val="0"/>
              <w:widowControl w:val="0"/>
              <w:numPr>
                <w:ilvl w:val="0"/>
                <w:numId w:val="6"/>
              </w:numPr>
              <w:tabs>
                <w:tab w:val="left" w:pos="1352"/>
              </w:tabs>
              <w:kinsoku/>
              <w:wordWrap/>
              <w:overflowPunct/>
              <w:topLinePunct w:val="0"/>
              <w:autoSpaceDE/>
              <w:autoSpaceDN/>
              <w:bidi w:val="0"/>
              <w:adjustRightInd/>
              <w:snapToGrid/>
              <w:ind w:left="360" w:hanging="57"/>
              <w:textAlignment w:val="auto"/>
              <w:rPr>
                <w:rFonts w:hint="default" w:ascii="Arial" w:hAnsi="Arial" w:cs="Arial"/>
                <w:b w:val="0"/>
                <w:bCs/>
                <w:i/>
                <w:iCs/>
                <w:sz w:val="20"/>
                <w:szCs w:val="20"/>
              </w:rPr>
            </w:pPr>
            <w:r>
              <w:rPr>
                <w:rFonts w:hint="default" w:ascii="Arial" w:hAnsi="Arial" w:cs="Arial"/>
                <w:b w:val="0"/>
                <w:bCs/>
                <w:sz w:val="20"/>
                <w:szCs w:val="20"/>
              </w:rPr>
              <w:t xml:space="preserve">The UE reports to the network when the power state is low.  We will not specify how the UE determines low power state.   The network should de-configure the data collection (this can be captured in stage 2). </w:t>
            </w:r>
          </w:p>
          <w:p w14:paraId="31428E43">
            <w:pPr>
              <w:pStyle w:val="33"/>
              <w:keepNext w:val="0"/>
              <w:keepLines w:val="0"/>
              <w:pageBreakBefore w:val="0"/>
              <w:widowControl w:val="0"/>
              <w:numPr>
                <w:ilvl w:val="0"/>
                <w:numId w:val="6"/>
              </w:numPr>
              <w:tabs>
                <w:tab w:val="left" w:pos="1352"/>
              </w:tabs>
              <w:kinsoku/>
              <w:wordWrap/>
              <w:overflowPunct/>
              <w:topLinePunct w:val="0"/>
              <w:autoSpaceDE/>
              <w:autoSpaceDN/>
              <w:bidi w:val="0"/>
              <w:adjustRightInd/>
              <w:snapToGrid/>
              <w:ind w:left="360" w:hanging="57"/>
              <w:textAlignment w:val="auto"/>
              <w:rPr>
                <w:rFonts w:hint="default" w:ascii="Arial" w:hAnsi="Arial" w:cs="Arial"/>
                <w:b w:val="0"/>
                <w:bCs/>
                <w:sz w:val="20"/>
                <w:szCs w:val="20"/>
              </w:rPr>
            </w:pPr>
            <w:r>
              <w:rPr>
                <w:rFonts w:hint="default" w:ascii="Arial" w:hAnsi="Arial" w:cs="Arial"/>
                <w:b w:val="0"/>
                <w:bCs/>
                <w:sz w:val="20"/>
                <w:szCs w:val="20"/>
              </w:rPr>
              <w:t xml:space="preserve">The UE reports to the network when buffer is or may become full.  </w:t>
            </w:r>
            <w:r>
              <w:rPr>
                <w:rFonts w:hint="default" w:ascii="Arial" w:hAnsi="Arial" w:cs="Arial"/>
                <w:b w:val="0"/>
                <w:bCs/>
                <w:sz w:val="20"/>
                <w:szCs w:val="20"/>
                <w:highlight w:val="none"/>
              </w:rPr>
              <w:t xml:space="preserve">FFS </w:t>
            </w:r>
            <w:r>
              <w:rPr>
                <w:rFonts w:hint="default" w:ascii="Arial" w:hAnsi="Arial" w:cs="Arial"/>
                <w:b w:val="0"/>
                <w:bCs/>
                <w:sz w:val="20"/>
                <w:szCs w:val="20"/>
              </w:rPr>
              <w:t xml:space="preserve">when it reports (before and/or after).   </w:t>
            </w:r>
          </w:p>
          <w:p w14:paraId="3E03432E">
            <w:pPr>
              <w:pStyle w:val="33"/>
              <w:keepNext w:val="0"/>
              <w:keepLines w:val="0"/>
              <w:pageBreakBefore w:val="0"/>
              <w:widowControl w:val="0"/>
              <w:numPr>
                <w:ilvl w:val="0"/>
                <w:numId w:val="6"/>
              </w:numPr>
              <w:tabs>
                <w:tab w:val="left" w:pos="1352"/>
              </w:tabs>
              <w:kinsoku/>
              <w:wordWrap/>
              <w:overflowPunct/>
              <w:topLinePunct w:val="0"/>
              <w:autoSpaceDE/>
              <w:autoSpaceDN/>
              <w:bidi w:val="0"/>
              <w:adjustRightInd/>
              <w:snapToGrid/>
              <w:ind w:left="360" w:hanging="57"/>
              <w:textAlignment w:val="auto"/>
              <w:rPr>
                <w:rFonts w:hint="default" w:ascii="Arial" w:hAnsi="Arial" w:cs="Arial"/>
                <w:b w:val="0"/>
                <w:bCs/>
                <w:sz w:val="20"/>
                <w:szCs w:val="20"/>
              </w:rPr>
            </w:pPr>
            <w:r>
              <w:rPr>
                <w:rFonts w:hint="default" w:ascii="Arial" w:hAnsi="Arial" w:cs="Arial"/>
                <w:b w:val="0"/>
                <w:bCs/>
                <w:sz w:val="20"/>
                <w:szCs w:val="20"/>
              </w:rPr>
              <w:t xml:space="preserve">The UE can report the reason for triggering of indication for the status (e.g. low power state, low memory).  </w:t>
            </w:r>
            <w:r>
              <w:rPr>
                <w:rFonts w:hint="default" w:ascii="Arial" w:hAnsi="Arial" w:cs="Arial"/>
                <w:b w:val="0"/>
                <w:bCs/>
                <w:sz w:val="20"/>
                <w:szCs w:val="20"/>
                <w:highlight w:val="none"/>
              </w:rPr>
              <w:t xml:space="preserve">FFS </w:t>
            </w:r>
            <w:r>
              <w:rPr>
                <w:rFonts w:hint="default" w:ascii="Arial" w:hAnsi="Arial" w:cs="Arial"/>
                <w:b w:val="0"/>
                <w:bCs/>
                <w:sz w:val="20"/>
                <w:szCs w:val="20"/>
              </w:rPr>
              <w:t>how this is signalled and if the reporting can be part of availability indication.</w:t>
            </w:r>
          </w:p>
        </w:tc>
      </w:tr>
    </w:tbl>
    <w:p w14:paraId="003051B6">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US" w:eastAsia="zh-CN"/>
        </w:rPr>
        <w:t>T</w:t>
      </w:r>
      <w:r>
        <w:rPr>
          <w:rFonts w:ascii="Arial" w:hAnsi="Arial" w:eastAsia="宋体" w:cs="Arial"/>
          <w:kern w:val="0"/>
          <w:sz w:val="20"/>
          <w:szCs w:val="20"/>
          <w:lang w:val="en-GB"/>
        </w:rPr>
        <w:t>his contribution</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eastAsia="宋体" w:cs="Arial"/>
          <w:kern w:val="0"/>
          <w:sz w:val="20"/>
          <w:szCs w:val="20"/>
          <w:lang w:val="en-US" w:eastAsia="zh-CN"/>
        </w:rPr>
        <w:t>discuss</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the remaining issues for NW side data collection</w:t>
      </w:r>
      <w:r>
        <w:rPr>
          <w:rFonts w:ascii="Arial" w:hAnsi="Arial" w:eastAsia="宋体" w:cs="Arial"/>
          <w:kern w:val="0"/>
          <w:sz w:val="20"/>
          <w:szCs w:val="20"/>
          <w:lang w:val="en-GB"/>
        </w:rPr>
        <w:t>.</w:t>
      </w:r>
    </w:p>
    <w:p w14:paraId="4B173D91">
      <w:pPr>
        <w:widowControl/>
        <w:spacing w:before="120" w:beforeLines="50" w:after="180"/>
        <w:rPr>
          <w:rFonts w:ascii="Arial" w:hAnsi="Arial" w:eastAsia="宋体" w:cs="Arial"/>
          <w:kern w:val="0"/>
          <w:sz w:val="20"/>
          <w:szCs w:val="20"/>
          <w:lang w:val="en-GB"/>
        </w:rPr>
      </w:pPr>
    </w:p>
    <w:p w14:paraId="385CCF9D">
      <w:pPr>
        <w:keepNext/>
        <w:keepLines/>
        <w:widowControl/>
        <w:numPr>
          <w:ilvl w:val="0"/>
          <w:numId w:val="7"/>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03BE3FD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2.1 NW side data collection for beam management</w:t>
      </w:r>
    </w:p>
    <w:p w14:paraId="2421086E">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0"/>
          <w:lang w:val="en-US" w:eastAsia="zh-CN"/>
        </w:rPr>
      </w:pPr>
      <w:r>
        <w:rPr>
          <w:rFonts w:hint="eastAsia" w:ascii="Arial" w:hAnsi="Arial" w:cs="Arial"/>
          <w:b/>
          <w:bCs/>
          <w:i/>
          <w:iCs/>
          <w:sz w:val="20"/>
          <w:szCs w:val="20"/>
          <w:u w:val="single"/>
          <w:lang w:val="en-US" w:eastAsia="zh-CN"/>
        </w:rPr>
        <w:t>Issue#1: FFS in last meeting</w:t>
      </w:r>
    </w:p>
    <w:p w14:paraId="42AF402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val="0"/>
          <w:bCs/>
          <w:sz w:val="20"/>
          <w:szCs w:val="20"/>
          <w:lang w:val="en-US" w:eastAsia="zh-CN"/>
        </w:rPr>
      </w:pPr>
      <w:r>
        <w:rPr>
          <w:rFonts w:hint="eastAsia" w:ascii="Arial" w:hAnsi="Arial" w:cs="Arial"/>
          <w:sz w:val="20"/>
          <w:szCs w:val="20"/>
          <w:lang w:val="en-US" w:eastAsia="zh-CN"/>
        </w:rPr>
        <w:t xml:space="preserve">In last meeting, RAN2 agreed that the UE </w:t>
      </w:r>
      <w:r>
        <w:rPr>
          <w:rFonts w:hint="default" w:ascii="Arial" w:hAnsi="Arial" w:cs="Arial"/>
          <w:b w:val="0"/>
          <w:bCs/>
          <w:sz w:val="20"/>
          <w:szCs w:val="20"/>
        </w:rPr>
        <w:t>reports to the network when the power state is low</w:t>
      </w:r>
      <w:r>
        <w:rPr>
          <w:rFonts w:hint="eastAsia" w:ascii="Arial" w:hAnsi="Arial" w:cs="Arial"/>
          <w:b w:val="0"/>
          <w:bCs/>
          <w:sz w:val="20"/>
          <w:szCs w:val="20"/>
          <w:lang w:val="en-US" w:eastAsia="zh-CN"/>
        </w:rPr>
        <w:t xml:space="preserve"> and when buffer is or may become full</w:t>
      </w:r>
      <w:r>
        <w:rPr>
          <w:rFonts w:hint="default" w:ascii="Arial" w:hAnsi="Arial" w:cs="Arial"/>
          <w:sz w:val="20"/>
          <w:szCs w:val="20"/>
          <w:lang w:val="en-US"/>
        </w:rPr>
        <w:t xml:space="preserve">. </w:t>
      </w:r>
      <w:r>
        <w:rPr>
          <w:rFonts w:hint="eastAsia" w:ascii="Arial" w:hAnsi="Arial" w:cs="Arial"/>
          <w:sz w:val="20"/>
          <w:szCs w:val="20"/>
          <w:lang w:val="en-US" w:eastAsia="zh-CN"/>
        </w:rPr>
        <w:t xml:space="preserve">FFS when it reports (before and/or after), and FFS how the reason </w:t>
      </w:r>
      <w:r>
        <w:rPr>
          <w:rFonts w:hint="default" w:ascii="Arial" w:hAnsi="Arial" w:cs="Arial"/>
          <w:b w:val="0"/>
          <w:bCs/>
          <w:sz w:val="20"/>
          <w:szCs w:val="20"/>
        </w:rPr>
        <w:t>for triggering of indication for the status (e.g. low power state, low memory)</w:t>
      </w:r>
      <w:r>
        <w:rPr>
          <w:rFonts w:hint="eastAsia" w:ascii="Arial" w:hAnsi="Arial" w:cs="Arial"/>
          <w:b w:val="0"/>
          <w:bCs/>
          <w:sz w:val="20"/>
          <w:szCs w:val="20"/>
          <w:lang w:val="en-US" w:eastAsia="zh-CN"/>
        </w:rPr>
        <w:t xml:space="preserve"> is signaled and if the reporting can be part of availability indication.</w:t>
      </w:r>
    </w:p>
    <w:p w14:paraId="748A92B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eastAsiaTheme="minorEastAsia"/>
          <w:b w:val="0"/>
          <w:bCs/>
          <w:sz w:val="20"/>
          <w:szCs w:val="20"/>
          <w:lang w:val="en-US" w:eastAsia="zh-CN"/>
        </w:rPr>
      </w:pPr>
      <w:r>
        <w:rPr>
          <w:rFonts w:hint="eastAsia" w:ascii="Arial" w:hAnsi="Arial" w:cs="Arial"/>
          <w:b w:val="0"/>
          <w:bCs/>
          <w:sz w:val="20"/>
          <w:szCs w:val="20"/>
          <w:lang w:val="en-US" w:eastAsia="zh-CN"/>
        </w:rPr>
        <w:t xml:space="preserve">Anyway, the UE will sent the availability indication to the network when the power state is low or buffer is full. For simplicity, we prefer to report the reason for triggering of indication </w:t>
      </w:r>
      <w:r>
        <w:rPr>
          <w:rFonts w:hint="default" w:ascii="Arial" w:hAnsi="Arial" w:cs="Arial"/>
          <w:b w:val="0"/>
          <w:bCs/>
          <w:sz w:val="20"/>
          <w:szCs w:val="20"/>
        </w:rPr>
        <w:t>for the status</w:t>
      </w:r>
      <w:r>
        <w:rPr>
          <w:rFonts w:hint="eastAsia" w:ascii="Arial" w:hAnsi="Arial" w:cs="Arial"/>
          <w:b w:val="0"/>
          <w:bCs/>
          <w:sz w:val="20"/>
          <w:szCs w:val="20"/>
          <w:lang w:val="en-US" w:eastAsia="zh-CN"/>
        </w:rPr>
        <w:t xml:space="preserve"> as part of availability indication.</w:t>
      </w:r>
    </w:p>
    <w:p w14:paraId="0046E3C7">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1: The reason for triggering of indication for the status (e.g. low power state, low memory) is signaled as </w:t>
      </w:r>
      <w:r>
        <w:rPr>
          <w:rFonts w:hint="eastAsia" w:ascii="Arial" w:hAnsi="Arial" w:cs="Arial"/>
          <w:b/>
          <w:bCs w:val="0"/>
          <w:sz w:val="20"/>
          <w:szCs w:val="20"/>
          <w:lang w:val="en-US" w:eastAsia="zh-CN"/>
        </w:rPr>
        <w:t>part of availability indication</w:t>
      </w:r>
      <w:r>
        <w:rPr>
          <w:rFonts w:hint="eastAsia" w:ascii="Arial" w:hAnsi="Arial" w:cs="Arial"/>
          <w:b/>
          <w:bCs/>
          <w:sz w:val="20"/>
          <w:szCs w:val="20"/>
          <w:lang w:val="en-US" w:eastAsia="zh-CN"/>
        </w:rPr>
        <w:t>.</w:t>
      </w:r>
    </w:p>
    <w:p w14:paraId="30EFBAEE">
      <w:pPr>
        <w:numPr>
          <w:ilvl w:val="0"/>
          <w:numId w:val="0"/>
        </w:numPr>
        <w:spacing w:before="120" w:beforeLines="50" w:after="120" w:line="260" w:lineRule="exact"/>
        <w:rPr>
          <w:rFonts w:hint="default" w:ascii="Arial" w:hAnsi="Arial" w:cs="Arial"/>
          <w:sz w:val="20"/>
          <w:szCs w:val="20"/>
          <w:highlight w:val="none"/>
          <w:lang w:val="en-US" w:eastAsia="zh-CN"/>
        </w:rPr>
      </w:pPr>
      <w:r>
        <w:rPr>
          <w:rFonts w:hint="eastAsia" w:ascii="Arial" w:hAnsi="Arial" w:cs="Arial"/>
          <w:sz w:val="20"/>
          <w:szCs w:val="20"/>
          <w:highlight w:val="none"/>
          <w:lang w:val="en-US" w:eastAsia="zh-CN"/>
        </w:rPr>
        <w:t xml:space="preserve">In RAN2#127 meeting, RAN2 agreed that when UE reaches its buffer limitation the UE stops measurement for data collection purposes and logging. Therefore, we think it can be reported to the network </w:t>
      </w:r>
      <w:r>
        <w:rPr>
          <w:rFonts w:hint="eastAsia" w:ascii="Arial" w:hAnsi="Arial" w:cs="Arial"/>
          <w:sz w:val="20"/>
          <w:szCs w:val="20"/>
          <w:lang w:val="en-US" w:eastAsia="zh-CN"/>
        </w:rPr>
        <w:t>after buffer is full. And this will not introduce additional impacts on UE power consumption since the measurement is stopped.</w:t>
      </w:r>
    </w:p>
    <w:p w14:paraId="1D0F3BDE">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Proposal 2: It can be reported to the network after buffer is full.</w:t>
      </w:r>
    </w:p>
    <w:p w14:paraId="50E0FFD1">
      <w:pPr>
        <w:numPr>
          <w:ilvl w:val="0"/>
          <w:numId w:val="0"/>
        </w:numPr>
        <w:spacing w:before="120" w:beforeLines="50" w:after="120" w:line="260" w:lineRule="exact"/>
        <w:rPr>
          <w:rFonts w:hint="default" w:ascii="Arial" w:hAnsi="Arial" w:eastAsia="宋体" w:cs="Arial"/>
          <w:b w:val="0"/>
          <w:bCs/>
          <w:sz w:val="20"/>
          <w:szCs w:val="21"/>
          <w:lang w:val="en-US" w:eastAsia="zh-CN"/>
        </w:rPr>
      </w:pPr>
      <w:r>
        <w:rPr>
          <w:rFonts w:hint="default" w:ascii="Arial" w:hAnsi="Arial" w:eastAsia="宋体" w:cs="Arial"/>
          <w:b w:val="0"/>
          <w:bCs/>
          <w:sz w:val="20"/>
          <w:szCs w:val="21"/>
          <w:lang w:eastAsia="zh-CN"/>
        </w:rPr>
        <w:t>In legacy logged MDT, the UE can indicate the</w:t>
      </w:r>
      <w:r>
        <w:rPr>
          <w:rFonts w:hint="default" w:ascii="Arial" w:hAnsi="Arial" w:eastAsia="宋体" w:cs="Arial"/>
          <w:b w:val="0"/>
          <w:bCs/>
          <w:sz w:val="20"/>
          <w:szCs w:val="21"/>
          <w:lang w:val="en-US" w:eastAsia="zh-CN"/>
        </w:rPr>
        <w:t xml:space="preserve"> available measurements via </w:t>
      </w:r>
      <w:r>
        <w:rPr>
          <w:rFonts w:hint="default" w:ascii="Arial" w:hAnsi="Arial" w:eastAsia="宋体" w:cs="Arial"/>
          <w:b w:val="0"/>
          <w:bCs/>
          <w:i/>
          <w:iCs/>
          <w:sz w:val="20"/>
          <w:szCs w:val="21"/>
          <w:lang w:val="en-US" w:eastAsia="zh-CN"/>
        </w:rPr>
        <w:t>UE-measurementAvailable</w:t>
      </w:r>
      <w:r>
        <w:rPr>
          <w:rFonts w:hint="eastAsia" w:ascii="Arial" w:hAnsi="Arial" w:eastAsia="宋体" w:cs="Arial"/>
          <w:b w:val="0"/>
          <w:bCs/>
          <w:i/>
          <w:iCs/>
          <w:sz w:val="20"/>
          <w:szCs w:val="21"/>
          <w:lang w:val="en-US" w:eastAsia="zh-CN"/>
        </w:rPr>
        <w:t xml:space="preserve"> </w:t>
      </w:r>
      <w:r>
        <w:rPr>
          <w:rFonts w:hint="eastAsia" w:ascii="Arial" w:hAnsi="Arial" w:eastAsia="宋体" w:cs="Arial"/>
          <w:b w:val="0"/>
          <w:bCs/>
          <w:i w:val="0"/>
          <w:iCs w:val="0"/>
          <w:sz w:val="20"/>
          <w:szCs w:val="21"/>
          <w:lang w:val="en-US" w:eastAsia="zh-CN"/>
        </w:rPr>
        <w:t>[2]</w:t>
      </w:r>
      <w:r>
        <w:rPr>
          <w:rFonts w:hint="default" w:ascii="Arial" w:hAnsi="Arial" w:eastAsia="宋体" w:cs="Arial"/>
          <w:b w:val="0"/>
          <w:bCs/>
          <w:i w:val="0"/>
          <w:iCs w:val="0"/>
          <w:sz w:val="20"/>
          <w:szCs w:val="21"/>
          <w:lang w:eastAsia="zh-CN"/>
        </w:rPr>
        <w:t xml:space="preserve"> </w:t>
      </w:r>
      <w:r>
        <w:rPr>
          <w:rFonts w:hint="default" w:ascii="Arial" w:hAnsi="Arial" w:eastAsia="宋体" w:cs="Arial"/>
          <w:b w:val="0"/>
          <w:bCs/>
          <w:sz w:val="20"/>
          <w:szCs w:val="21"/>
          <w:lang w:eastAsia="zh-CN"/>
        </w:rPr>
        <w:t xml:space="preserve">in msg5, e.g. </w:t>
      </w:r>
      <w:r>
        <w:rPr>
          <w:rFonts w:hint="default" w:ascii="Arial" w:hAnsi="Arial" w:eastAsia="宋体" w:cs="Arial"/>
          <w:b w:val="0"/>
          <w:bCs/>
          <w:i/>
          <w:iCs/>
          <w:sz w:val="20"/>
          <w:szCs w:val="21"/>
          <w:lang w:eastAsia="zh-CN"/>
        </w:rPr>
        <w:t>RRCSetupComplete</w:t>
      </w:r>
      <w:r>
        <w:rPr>
          <w:rFonts w:hint="default" w:ascii="Arial" w:hAnsi="Arial" w:eastAsia="宋体" w:cs="Arial"/>
          <w:b w:val="0"/>
          <w:bCs/>
          <w:sz w:val="20"/>
          <w:szCs w:val="21"/>
          <w:lang w:eastAsia="zh-CN"/>
        </w:rPr>
        <w:t xml:space="preserve">, </w:t>
      </w:r>
      <w:r>
        <w:rPr>
          <w:rFonts w:hint="default" w:ascii="Arial" w:hAnsi="Arial" w:eastAsia="宋体" w:cs="Arial"/>
          <w:b w:val="0"/>
          <w:bCs/>
          <w:i/>
          <w:iCs/>
          <w:sz w:val="20"/>
          <w:szCs w:val="21"/>
          <w:lang w:eastAsia="zh-CN"/>
        </w:rPr>
        <w:t>RRCResumeComplete</w:t>
      </w:r>
      <w:r>
        <w:rPr>
          <w:rFonts w:hint="default" w:ascii="Arial" w:hAnsi="Arial" w:eastAsia="宋体" w:cs="Arial"/>
          <w:b w:val="0"/>
          <w:bCs/>
          <w:sz w:val="20"/>
          <w:szCs w:val="21"/>
          <w:lang w:eastAsia="zh-CN"/>
        </w:rPr>
        <w:t xml:space="preserve">, </w:t>
      </w:r>
      <w:r>
        <w:rPr>
          <w:rFonts w:hint="default" w:ascii="Arial" w:hAnsi="Arial" w:eastAsia="宋体" w:cs="Arial"/>
          <w:b w:val="0"/>
          <w:bCs/>
          <w:i/>
          <w:iCs/>
          <w:sz w:val="20"/>
          <w:szCs w:val="21"/>
          <w:lang w:eastAsia="zh-CN"/>
        </w:rPr>
        <w:t>RRC</w:t>
      </w:r>
      <w:r>
        <w:rPr>
          <w:rFonts w:hint="default" w:ascii="Arial" w:hAnsi="Arial" w:eastAsia="宋体" w:cs="Arial"/>
          <w:b w:val="0"/>
          <w:bCs/>
          <w:i/>
          <w:iCs/>
          <w:sz w:val="20"/>
          <w:szCs w:val="21"/>
          <w:lang w:val="en-US" w:eastAsia="zh-CN"/>
        </w:rPr>
        <w:t xml:space="preserve">ReestablishComplete </w:t>
      </w:r>
      <w:r>
        <w:rPr>
          <w:rFonts w:hint="default" w:ascii="Arial" w:hAnsi="Arial" w:eastAsia="宋体" w:cs="Arial"/>
          <w:b w:val="0"/>
          <w:bCs/>
          <w:sz w:val="20"/>
          <w:szCs w:val="21"/>
          <w:lang w:val="en-US" w:eastAsia="zh-CN"/>
        </w:rPr>
        <w:t>message.</w:t>
      </w:r>
    </w:p>
    <w:p w14:paraId="68F11916">
      <w:pPr>
        <w:numPr>
          <w:ilvl w:val="0"/>
          <w:numId w:val="0"/>
        </w:numPr>
        <w:spacing w:before="120" w:beforeLines="50" w:after="120" w:line="240" w:lineRule="auto"/>
        <w:rPr>
          <w:rFonts w:hint="eastAsia" w:eastAsia="宋体"/>
          <w:b w:val="0"/>
          <w:bCs/>
          <w:lang w:val="en-US" w:eastAsia="zh-CN"/>
        </w:rPr>
      </w:pPr>
      <w:r>
        <w:drawing>
          <wp:inline distT="0" distB="0" distL="114300" distR="114300">
            <wp:extent cx="6118860" cy="2457450"/>
            <wp:effectExtent l="0" t="0" r="571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4"/>
                    <a:stretch>
                      <a:fillRect/>
                    </a:stretch>
                  </pic:blipFill>
                  <pic:spPr>
                    <a:xfrm>
                      <a:off x="0" y="0"/>
                      <a:ext cx="6118860" cy="2457450"/>
                    </a:xfrm>
                    <a:prstGeom prst="rect">
                      <a:avLst/>
                    </a:prstGeom>
                    <a:noFill/>
                    <a:ln>
                      <a:noFill/>
                    </a:ln>
                  </pic:spPr>
                </pic:pic>
              </a:graphicData>
            </a:graphic>
          </wp:inline>
        </w:drawing>
      </w:r>
    </w:p>
    <w:p w14:paraId="455F7F1B">
      <w:pPr>
        <w:numPr>
          <w:ilvl w:val="0"/>
          <w:numId w:val="0"/>
        </w:numPr>
        <w:spacing w:before="120" w:beforeLines="50" w:after="120" w:line="260" w:lineRule="exact"/>
        <w:rPr>
          <w:rFonts w:hint="eastAsia" w:ascii="Arial" w:hAnsi="Arial" w:eastAsia="宋体" w:cs="Arial"/>
          <w:b w:val="0"/>
          <w:bCs/>
          <w:sz w:val="20"/>
          <w:szCs w:val="21"/>
          <w:lang w:val="en-US" w:eastAsia="zh-CN"/>
        </w:rPr>
      </w:pPr>
      <w:r>
        <w:rPr>
          <w:rFonts w:hint="eastAsia" w:ascii="Arial" w:hAnsi="Arial" w:eastAsia="宋体" w:cs="Arial"/>
          <w:b w:val="0"/>
          <w:bCs/>
          <w:sz w:val="20"/>
          <w:szCs w:val="21"/>
          <w:lang w:val="en-US" w:eastAsia="zh-CN"/>
        </w:rPr>
        <w:t>For NW data collection in AI/ML, considering the UE is in connected mode, msg5 is not applicable for availability indication. We think UAI can be used to send the availability indication to the network.</w:t>
      </w:r>
    </w:p>
    <w:p w14:paraId="3E07BFAE">
      <w:pPr>
        <w:numPr>
          <w:ilvl w:val="0"/>
          <w:numId w:val="0"/>
        </w:numPr>
        <w:spacing w:before="120" w:beforeLines="50" w:after="120" w:line="260" w:lineRule="exact"/>
        <w:rPr>
          <w:rFonts w:hint="default" w:ascii="Arial" w:hAnsi="Arial" w:eastAsia="宋体" w:cs="Arial"/>
          <w:b/>
          <w:bCs w:val="0"/>
          <w:sz w:val="20"/>
          <w:szCs w:val="21"/>
          <w:lang w:val="en-US" w:eastAsia="zh-CN"/>
        </w:rPr>
      </w:pPr>
      <w:r>
        <w:rPr>
          <w:rFonts w:hint="eastAsia" w:ascii="Arial" w:hAnsi="Arial" w:eastAsia="宋体" w:cs="Arial"/>
          <w:b/>
          <w:bCs w:val="0"/>
          <w:sz w:val="20"/>
          <w:szCs w:val="21"/>
          <w:lang w:val="en-US" w:eastAsia="zh-CN"/>
        </w:rPr>
        <w:t xml:space="preserve">Proposal 3: The availability indication can be sent to the network via </w:t>
      </w:r>
      <w:r>
        <w:rPr>
          <w:rFonts w:hint="eastAsia" w:ascii="Arial" w:hAnsi="Arial" w:eastAsia="宋体" w:cs="Arial"/>
          <w:b/>
          <w:bCs w:val="0"/>
          <w:i/>
          <w:iCs/>
          <w:sz w:val="20"/>
          <w:szCs w:val="21"/>
          <w:lang w:val="en-US" w:eastAsia="zh-CN"/>
        </w:rPr>
        <w:t xml:space="preserve">UEAssistanceInformation </w:t>
      </w:r>
      <w:r>
        <w:rPr>
          <w:rFonts w:hint="eastAsia" w:ascii="Arial" w:hAnsi="Arial" w:eastAsia="宋体" w:cs="Arial"/>
          <w:b/>
          <w:bCs w:val="0"/>
          <w:sz w:val="20"/>
          <w:szCs w:val="21"/>
          <w:lang w:val="en-US" w:eastAsia="zh-CN"/>
        </w:rPr>
        <w:t>massage.</w:t>
      </w:r>
    </w:p>
    <w:p w14:paraId="6344D298">
      <w:pPr>
        <w:numPr>
          <w:ilvl w:val="0"/>
          <w:numId w:val="0"/>
        </w:numPr>
        <w:spacing w:before="120" w:beforeLines="50" w:after="120" w:line="260" w:lineRule="exact"/>
        <w:rPr>
          <w:rFonts w:hint="default" w:eastAsia="宋体"/>
          <w:b w:val="0"/>
          <w:bCs/>
          <w:lang w:eastAsia="zh-CN"/>
        </w:rPr>
      </w:pPr>
    </w:p>
    <w:p w14:paraId="4CFAC69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0"/>
          <w:lang w:val="en-US" w:eastAsia="zh-CN"/>
        </w:rPr>
      </w:pPr>
      <w:r>
        <w:rPr>
          <w:rFonts w:hint="eastAsia" w:ascii="Arial" w:hAnsi="Arial" w:cs="Arial"/>
          <w:b/>
          <w:bCs/>
          <w:i/>
          <w:iCs/>
          <w:sz w:val="20"/>
          <w:szCs w:val="20"/>
          <w:u w:val="single"/>
          <w:lang w:val="en-US" w:eastAsia="zh-CN"/>
        </w:rPr>
        <w:t>Issue#2: Data type for NW sided model and UE sided model</w:t>
      </w:r>
    </w:p>
    <w:p w14:paraId="0371037D">
      <w:pPr>
        <w:numPr>
          <w:ilvl w:val="0"/>
          <w:numId w:val="0"/>
        </w:numPr>
        <w:spacing w:before="120" w:beforeLines="50" w:after="120" w:line="260" w:lineRule="exact"/>
        <w:rPr>
          <w:rFonts w:hint="default" w:ascii="Arial" w:hAnsi="Arial" w:eastAsia="宋体" w:cs="Arial"/>
          <w:kern w:val="0"/>
          <w:sz w:val="20"/>
          <w:szCs w:val="20"/>
          <w:lang w:val="en-US" w:eastAsia="zh-CN"/>
        </w:rPr>
      </w:pPr>
      <w:r>
        <w:rPr>
          <w:rFonts w:hint="eastAsia" w:ascii="Arial" w:hAnsi="Arial" w:eastAsia="宋体" w:cs="Arial"/>
          <w:kern w:val="0"/>
          <w:sz w:val="20"/>
          <w:szCs w:val="20"/>
          <w:lang w:val="en-GB"/>
        </w:rPr>
        <w:t>During</w:t>
      </w:r>
      <w:r>
        <w:rPr>
          <w:rFonts w:hint="eastAsia" w:ascii="Arial" w:hAnsi="Arial" w:eastAsia="宋体" w:cs="Arial"/>
          <w:kern w:val="0"/>
          <w:sz w:val="20"/>
          <w:szCs w:val="20"/>
          <w:lang w:val="en-US" w:eastAsia="zh-CN"/>
        </w:rPr>
        <w:t xml:space="preserve"> the study phase, RAN1 reply LS [4] provided the data content and typical data size for beam management use case. It can be seen that they are common for UE-sided model and NW-sided model training, but different for inference and monitoring. More details can be further discussed based on RAN1 progress.</w:t>
      </w:r>
    </w:p>
    <w:tbl>
      <w:tblPr>
        <w:tblStyle w:val="15"/>
        <w:tblW w:w="987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2497"/>
        <w:gridCol w:w="1890"/>
        <w:gridCol w:w="1530"/>
        <w:gridCol w:w="1620"/>
      </w:tblGrid>
      <w:tr w14:paraId="7728A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trPr>
        <w:tc>
          <w:tcPr>
            <w:tcW w:w="1170" w:type="dxa"/>
            <w:shd w:val="clear" w:color="auto" w:fill="auto"/>
          </w:tcPr>
          <w:p w14:paraId="074DA61B">
            <w:pPr>
              <w:spacing w:before="120" w:line="312" w:lineRule="auto"/>
              <w:rPr>
                <w:rFonts w:hint="default" w:ascii="Arial" w:hAnsi="Arial" w:eastAsia="宋体" w:cs="Arial"/>
                <w:b/>
                <w:sz w:val="18"/>
                <w:szCs w:val="18"/>
              </w:rPr>
            </w:pPr>
            <w:r>
              <w:rPr>
                <w:rFonts w:hint="default" w:ascii="Arial" w:hAnsi="Arial" w:eastAsia="宋体" w:cs="Arial"/>
                <w:b/>
                <w:bCs/>
                <w:sz w:val="18"/>
                <w:szCs w:val="18"/>
              </w:rPr>
              <w:t>LCM purpose</w:t>
            </w:r>
          </w:p>
        </w:tc>
        <w:tc>
          <w:tcPr>
            <w:tcW w:w="1170" w:type="dxa"/>
            <w:shd w:val="clear" w:color="auto" w:fill="auto"/>
          </w:tcPr>
          <w:p w14:paraId="64B7B7EE">
            <w:pPr>
              <w:spacing w:before="120" w:line="312" w:lineRule="auto"/>
              <w:rPr>
                <w:rFonts w:hint="default" w:ascii="Arial" w:hAnsi="Arial" w:eastAsia="宋体" w:cs="Arial"/>
                <w:b/>
                <w:bCs/>
                <w:sz w:val="18"/>
                <w:szCs w:val="18"/>
              </w:rPr>
            </w:pPr>
            <w:r>
              <w:rPr>
                <w:rFonts w:hint="default" w:ascii="Arial" w:hAnsi="Arial" w:eastAsia="宋体" w:cs="Arial"/>
                <w:b/>
                <w:bCs/>
                <w:sz w:val="18"/>
                <w:szCs w:val="18"/>
              </w:rPr>
              <w:t>UE-side/NW-side models</w:t>
            </w:r>
          </w:p>
        </w:tc>
        <w:tc>
          <w:tcPr>
            <w:tcW w:w="2497" w:type="dxa"/>
            <w:shd w:val="clear" w:color="auto" w:fill="auto"/>
          </w:tcPr>
          <w:p w14:paraId="3C682F5A">
            <w:pPr>
              <w:spacing w:before="120" w:line="312" w:lineRule="auto"/>
              <w:rPr>
                <w:rFonts w:hint="default" w:ascii="Arial" w:hAnsi="Arial" w:eastAsia="宋体" w:cs="Arial"/>
                <w:b/>
                <w:sz w:val="18"/>
                <w:szCs w:val="18"/>
              </w:rPr>
            </w:pPr>
            <w:r>
              <w:rPr>
                <w:rFonts w:hint="default" w:ascii="Arial" w:hAnsi="Arial" w:eastAsia="宋体" w:cs="Arial"/>
                <w:b/>
                <w:sz w:val="18"/>
                <w:szCs w:val="18"/>
              </w:rPr>
              <w:t>Data content</w:t>
            </w:r>
          </w:p>
        </w:tc>
        <w:tc>
          <w:tcPr>
            <w:tcW w:w="1890" w:type="dxa"/>
            <w:shd w:val="clear" w:color="auto" w:fill="auto"/>
          </w:tcPr>
          <w:p w14:paraId="396FC606">
            <w:pPr>
              <w:spacing w:before="120" w:line="312" w:lineRule="auto"/>
              <w:rPr>
                <w:rFonts w:hint="default" w:ascii="Arial" w:hAnsi="Arial" w:eastAsia="宋体" w:cs="Arial"/>
                <w:b/>
                <w:sz w:val="18"/>
                <w:szCs w:val="18"/>
              </w:rPr>
            </w:pPr>
            <w:r>
              <w:rPr>
                <w:rFonts w:hint="default" w:ascii="Arial" w:hAnsi="Arial" w:eastAsia="宋体" w:cs="Arial"/>
                <w:b/>
                <w:bCs/>
                <w:sz w:val="18"/>
                <w:szCs w:val="18"/>
              </w:rPr>
              <w:t>Typical data size (per data sample)</w:t>
            </w:r>
          </w:p>
        </w:tc>
        <w:tc>
          <w:tcPr>
            <w:tcW w:w="1530" w:type="dxa"/>
            <w:shd w:val="clear" w:color="auto" w:fill="auto"/>
          </w:tcPr>
          <w:p w14:paraId="2521C09D">
            <w:pPr>
              <w:spacing w:before="120" w:line="312" w:lineRule="auto"/>
              <w:rPr>
                <w:rFonts w:hint="default" w:ascii="Arial" w:hAnsi="Arial" w:eastAsia="宋体" w:cs="Arial"/>
                <w:b/>
                <w:sz w:val="18"/>
                <w:szCs w:val="18"/>
              </w:rPr>
            </w:pPr>
            <w:r>
              <w:rPr>
                <w:rFonts w:hint="default" w:ascii="Arial" w:hAnsi="Arial" w:eastAsia="宋体" w:cs="Arial"/>
                <w:b/>
                <w:sz w:val="18"/>
                <w:szCs w:val="18"/>
              </w:rPr>
              <w:t>Typical latency requirement</w:t>
            </w:r>
          </w:p>
        </w:tc>
        <w:tc>
          <w:tcPr>
            <w:tcW w:w="1620" w:type="dxa"/>
            <w:shd w:val="clear" w:color="auto" w:fill="auto"/>
          </w:tcPr>
          <w:p w14:paraId="59E38519">
            <w:pPr>
              <w:spacing w:before="120" w:line="312" w:lineRule="auto"/>
              <w:rPr>
                <w:rFonts w:hint="default" w:ascii="Arial" w:hAnsi="Arial" w:eastAsia="宋体" w:cs="Arial"/>
                <w:b/>
                <w:bCs/>
                <w:sz w:val="18"/>
                <w:szCs w:val="18"/>
              </w:rPr>
            </w:pPr>
            <w:r>
              <w:rPr>
                <w:rFonts w:hint="default" w:ascii="Arial" w:hAnsi="Arial" w:eastAsia="宋体" w:cs="Arial"/>
                <w:b/>
                <w:bCs/>
                <w:sz w:val="18"/>
                <w:szCs w:val="18"/>
              </w:rPr>
              <w:t>Notes</w:t>
            </w:r>
          </w:p>
        </w:tc>
      </w:tr>
      <w:tr w14:paraId="47A16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trPr>
        <w:tc>
          <w:tcPr>
            <w:tcW w:w="1170" w:type="dxa"/>
            <w:shd w:val="clear" w:color="auto" w:fill="auto"/>
          </w:tcPr>
          <w:p w14:paraId="1B404691">
            <w:pPr>
              <w:spacing w:before="120" w:line="312" w:lineRule="auto"/>
              <w:rPr>
                <w:rFonts w:hint="default" w:ascii="Arial" w:hAnsi="Arial" w:eastAsia="宋体" w:cs="Arial"/>
                <w:sz w:val="18"/>
                <w:szCs w:val="18"/>
                <w:highlight w:val="none"/>
              </w:rPr>
            </w:pPr>
            <w:r>
              <w:rPr>
                <w:rFonts w:hint="default" w:ascii="Arial" w:hAnsi="Arial" w:eastAsia="宋体" w:cs="Arial"/>
                <w:sz w:val="18"/>
                <w:szCs w:val="18"/>
                <w:highlight w:val="none"/>
              </w:rPr>
              <w:t>Training</w:t>
            </w:r>
          </w:p>
        </w:tc>
        <w:tc>
          <w:tcPr>
            <w:tcW w:w="1170" w:type="dxa"/>
            <w:shd w:val="clear" w:color="auto" w:fill="auto"/>
          </w:tcPr>
          <w:p w14:paraId="4F06D735">
            <w:pPr>
              <w:spacing w:before="120" w:line="312" w:lineRule="auto"/>
              <w:rPr>
                <w:rFonts w:hint="default" w:ascii="Arial" w:hAnsi="Arial" w:eastAsia="宋体" w:cs="Arial"/>
                <w:sz w:val="18"/>
                <w:szCs w:val="18"/>
                <w:highlight w:val="none"/>
              </w:rPr>
            </w:pPr>
            <w:r>
              <w:rPr>
                <w:rFonts w:hint="default" w:ascii="Arial" w:hAnsi="Arial" w:eastAsia="宋体" w:cs="Arial"/>
                <w:sz w:val="18"/>
                <w:szCs w:val="18"/>
                <w:highlight w:val="none"/>
              </w:rPr>
              <w:t>UE-side, NW-side</w:t>
            </w:r>
          </w:p>
          <w:p w14:paraId="1C029497">
            <w:pPr>
              <w:spacing w:before="120" w:line="312" w:lineRule="auto"/>
              <w:rPr>
                <w:rFonts w:hint="default" w:ascii="Arial" w:hAnsi="Arial" w:eastAsia="宋体" w:cs="Arial"/>
                <w:sz w:val="18"/>
                <w:szCs w:val="18"/>
                <w:highlight w:val="none"/>
              </w:rPr>
            </w:pPr>
          </w:p>
        </w:tc>
        <w:tc>
          <w:tcPr>
            <w:tcW w:w="2497" w:type="dxa"/>
            <w:shd w:val="clear" w:color="auto" w:fill="auto"/>
          </w:tcPr>
          <w:p w14:paraId="51499610">
            <w:pPr>
              <w:spacing w:before="120" w:line="312" w:lineRule="auto"/>
              <w:rPr>
                <w:rFonts w:hint="default" w:ascii="Arial" w:hAnsi="Arial" w:eastAsia="宋体" w:cs="Arial"/>
                <w:sz w:val="18"/>
                <w:szCs w:val="18"/>
              </w:rPr>
            </w:pPr>
            <w:r>
              <w:rPr>
                <w:rFonts w:hint="default" w:ascii="Arial" w:hAnsi="Arial" w:eastAsia="宋体" w:cs="Arial"/>
                <w:sz w:val="18"/>
                <w:szCs w:val="18"/>
              </w:rPr>
              <w:t>L1-RSRPs and/or beam-IDs</w:t>
            </w:r>
          </w:p>
          <w:p w14:paraId="32D72CF4">
            <w:pPr>
              <w:spacing w:before="120" w:line="312" w:lineRule="auto"/>
              <w:rPr>
                <w:rFonts w:hint="default" w:ascii="Arial" w:hAnsi="Arial" w:eastAsia="宋体" w:cs="Arial"/>
                <w:sz w:val="18"/>
                <w:szCs w:val="18"/>
              </w:rPr>
            </w:pPr>
          </w:p>
        </w:tc>
        <w:tc>
          <w:tcPr>
            <w:tcW w:w="1890" w:type="dxa"/>
            <w:shd w:val="clear" w:color="auto" w:fill="auto"/>
          </w:tcPr>
          <w:p w14:paraId="11F50168">
            <w:pPr>
              <w:spacing w:before="120" w:line="312" w:lineRule="auto"/>
              <w:rPr>
                <w:rFonts w:hint="default" w:ascii="Arial" w:hAnsi="Arial" w:eastAsia="宋体" w:cs="Arial"/>
                <w:sz w:val="18"/>
                <w:szCs w:val="18"/>
              </w:rPr>
            </w:pPr>
            <w:r>
              <w:rPr>
                <w:rFonts w:hint="default" w:ascii="Arial" w:hAnsi="Arial" w:eastAsia="宋体" w:cs="Arial"/>
                <w:sz w:val="18"/>
                <w:szCs w:val="18"/>
              </w:rPr>
              <w:t>See Note 1 for L1-RSRPs</w:t>
            </w:r>
          </w:p>
          <w:p w14:paraId="29EFA058">
            <w:pPr>
              <w:spacing w:before="120" w:line="312" w:lineRule="auto"/>
              <w:rPr>
                <w:rFonts w:hint="default" w:ascii="Arial" w:hAnsi="Arial" w:eastAsia="宋体" w:cs="Arial"/>
                <w:sz w:val="18"/>
                <w:szCs w:val="18"/>
              </w:rPr>
            </w:pPr>
          </w:p>
        </w:tc>
        <w:tc>
          <w:tcPr>
            <w:tcW w:w="1530" w:type="dxa"/>
            <w:shd w:val="clear" w:color="auto" w:fill="auto"/>
          </w:tcPr>
          <w:p w14:paraId="1B6F8810">
            <w:pPr>
              <w:spacing w:before="120" w:line="312" w:lineRule="auto"/>
              <w:rPr>
                <w:rFonts w:hint="default" w:ascii="Arial" w:hAnsi="Arial" w:eastAsia="宋体" w:cs="Arial"/>
                <w:sz w:val="18"/>
                <w:szCs w:val="18"/>
              </w:rPr>
            </w:pPr>
            <w:r>
              <w:rPr>
                <w:rFonts w:hint="default" w:ascii="Arial" w:hAnsi="Arial" w:eastAsia="宋体" w:cs="Arial"/>
                <w:sz w:val="18"/>
                <w:szCs w:val="18"/>
              </w:rPr>
              <w:t>Relaxed</w:t>
            </w:r>
          </w:p>
          <w:p w14:paraId="2A8B0E18">
            <w:pPr>
              <w:spacing w:before="120" w:line="312" w:lineRule="auto"/>
              <w:rPr>
                <w:rFonts w:hint="default" w:ascii="Arial" w:hAnsi="Arial" w:eastAsia="宋体" w:cs="Arial"/>
                <w:sz w:val="18"/>
                <w:szCs w:val="18"/>
              </w:rPr>
            </w:pPr>
          </w:p>
        </w:tc>
        <w:tc>
          <w:tcPr>
            <w:tcW w:w="1620" w:type="dxa"/>
            <w:shd w:val="clear" w:color="auto" w:fill="auto"/>
          </w:tcPr>
          <w:p w14:paraId="2D15218D">
            <w:pPr>
              <w:spacing w:before="120" w:line="312" w:lineRule="auto"/>
              <w:rPr>
                <w:rFonts w:hint="default" w:ascii="Arial" w:hAnsi="Arial" w:eastAsia="宋体" w:cs="Arial"/>
                <w:sz w:val="18"/>
                <w:szCs w:val="18"/>
              </w:rPr>
            </w:pPr>
          </w:p>
          <w:p w14:paraId="4E8F5E2D">
            <w:pPr>
              <w:spacing w:before="120" w:line="312" w:lineRule="auto"/>
              <w:rPr>
                <w:rFonts w:hint="default" w:ascii="Arial" w:hAnsi="Arial" w:eastAsia="宋体" w:cs="Arial"/>
                <w:sz w:val="18"/>
                <w:szCs w:val="18"/>
              </w:rPr>
            </w:pPr>
          </w:p>
        </w:tc>
      </w:tr>
      <w:tr w14:paraId="311B0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170" w:type="dxa"/>
            <w:vMerge w:val="restart"/>
            <w:shd w:val="clear" w:color="auto" w:fill="auto"/>
          </w:tcPr>
          <w:p w14:paraId="152E52F3">
            <w:pPr>
              <w:spacing w:before="120" w:line="312" w:lineRule="auto"/>
              <w:rPr>
                <w:rFonts w:hint="default" w:ascii="Arial" w:hAnsi="Arial" w:eastAsia="宋体" w:cs="Arial"/>
                <w:sz w:val="18"/>
                <w:szCs w:val="18"/>
              </w:rPr>
            </w:pPr>
            <w:r>
              <w:rPr>
                <w:rFonts w:hint="default" w:ascii="Arial" w:hAnsi="Arial" w:eastAsia="宋体" w:cs="Arial"/>
                <w:sz w:val="18"/>
                <w:szCs w:val="18"/>
              </w:rPr>
              <w:t>Inference</w:t>
            </w:r>
          </w:p>
        </w:tc>
        <w:tc>
          <w:tcPr>
            <w:tcW w:w="1170" w:type="dxa"/>
            <w:shd w:val="clear" w:color="auto" w:fill="auto"/>
          </w:tcPr>
          <w:p w14:paraId="2A087036">
            <w:pPr>
              <w:spacing w:before="120" w:line="312" w:lineRule="auto"/>
              <w:rPr>
                <w:rFonts w:hint="default" w:ascii="Arial" w:hAnsi="Arial" w:eastAsia="宋体" w:cs="Arial"/>
                <w:sz w:val="18"/>
                <w:szCs w:val="18"/>
              </w:rPr>
            </w:pPr>
            <w:r>
              <w:rPr>
                <w:rFonts w:hint="default" w:ascii="Arial" w:hAnsi="Arial" w:eastAsia="宋体" w:cs="Arial"/>
                <w:sz w:val="18"/>
                <w:szCs w:val="18"/>
              </w:rPr>
              <w:t>UE-side</w:t>
            </w:r>
          </w:p>
        </w:tc>
        <w:tc>
          <w:tcPr>
            <w:tcW w:w="2497" w:type="dxa"/>
            <w:shd w:val="clear" w:color="auto" w:fill="auto"/>
          </w:tcPr>
          <w:p w14:paraId="7A6B7164">
            <w:pPr>
              <w:tabs>
                <w:tab w:val="left" w:pos="1440"/>
              </w:tabs>
              <w:spacing w:line="276" w:lineRule="auto"/>
              <w:contextualSpacing/>
              <w:jc w:val="both"/>
              <w:rPr>
                <w:rFonts w:hint="default" w:ascii="Arial" w:hAnsi="Arial" w:eastAsia="宋体" w:cs="Arial"/>
                <w:sz w:val="18"/>
                <w:szCs w:val="18"/>
              </w:rPr>
            </w:pPr>
            <w:r>
              <w:rPr>
                <w:rFonts w:hint="default" w:ascii="Arial" w:hAnsi="Arial" w:eastAsia="宋体" w:cs="Arial"/>
                <w:sz w:val="18"/>
                <w:szCs w:val="18"/>
              </w:rPr>
              <w:t>Beam prediction results</w:t>
            </w:r>
          </w:p>
          <w:p w14:paraId="3726F738">
            <w:pPr>
              <w:tabs>
                <w:tab w:val="left" w:pos="1440"/>
              </w:tabs>
              <w:spacing w:line="276" w:lineRule="auto"/>
              <w:contextualSpacing/>
              <w:jc w:val="both"/>
              <w:rPr>
                <w:rFonts w:hint="default" w:ascii="Arial" w:hAnsi="Arial" w:eastAsia="宋体" w:cs="Arial"/>
                <w:sz w:val="18"/>
                <w:szCs w:val="18"/>
              </w:rPr>
            </w:pPr>
          </w:p>
        </w:tc>
        <w:tc>
          <w:tcPr>
            <w:tcW w:w="1890" w:type="dxa"/>
            <w:shd w:val="clear" w:color="auto" w:fill="auto"/>
          </w:tcPr>
          <w:p w14:paraId="57F9A9EC">
            <w:pPr>
              <w:spacing w:before="120" w:line="312" w:lineRule="auto"/>
              <w:rPr>
                <w:rFonts w:hint="default" w:ascii="Arial" w:hAnsi="Arial" w:eastAsia="宋体" w:cs="Arial"/>
                <w:sz w:val="18"/>
                <w:szCs w:val="18"/>
              </w:rPr>
            </w:pPr>
            <w:r>
              <w:rPr>
                <w:rFonts w:hint="default" w:ascii="Arial" w:hAnsi="Arial" w:eastAsia="宋体" w:cs="Arial"/>
                <w:sz w:val="18"/>
                <w:szCs w:val="18"/>
              </w:rPr>
              <w:t>Small (10s of bits)</w:t>
            </w:r>
          </w:p>
        </w:tc>
        <w:tc>
          <w:tcPr>
            <w:tcW w:w="1530" w:type="dxa"/>
            <w:shd w:val="clear" w:color="auto" w:fill="auto"/>
          </w:tcPr>
          <w:p w14:paraId="5E8C0D41">
            <w:pPr>
              <w:spacing w:before="120" w:line="312" w:lineRule="auto"/>
              <w:rPr>
                <w:rFonts w:hint="default" w:ascii="Arial" w:hAnsi="Arial" w:eastAsia="宋体" w:cs="Arial"/>
                <w:sz w:val="18"/>
                <w:szCs w:val="18"/>
              </w:rPr>
            </w:pPr>
            <w:r>
              <w:rPr>
                <w:rFonts w:hint="default" w:ascii="Arial" w:hAnsi="Arial" w:eastAsia="宋体" w:cs="Arial"/>
                <w:sz w:val="18"/>
                <w:szCs w:val="18"/>
              </w:rPr>
              <w:t>Time-critical</w:t>
            </w:r>
          </w:p>
        </w:tc>
        <w:tc>
          <w:tcPr>
            <w:tcW w:w="1620" w:type="dxa"/>
            <w:vMerge w:val="restart"/>
            <w:shd w:val="clear" w:color="auto" w:fill="auto"/>
          </w:tcPr>
          <w:p w14:paraId="6B5E5469">
            <w:pPr>
              <w:spacing w:before="120" w:line="312" w:lineRule="auto"/>
              <w:rPr>
                <w:rFonts w:hint="default" w:ascii="Arial" w:hAnsi="Arial" w:eastAsia="宋体" w:cs="Arial"/>
                <w:sz w:val="18"/>
                <w:szCs w:val="18"/>
              </w:rPr>
            </w:pPr>
            <w:r>
              <w:rPr>
                <w:rFonts w:hint="default" w:ascii="Arial" w:hAnsi="Arial" w:eastAsia="宋体" w:cs="Arial"/>
                <w:sz w:val="18"/>
                <w:szCs w:val="18"/>
              </w:rPr>
              <w:t>RAN1 has agreed to consider L1 signalling for this reporting</w:t>
            </w:r>
          </w:p>
        </w:tc>
      </w:tr>
      <w:tr w14:paraId="0E581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170" w:type="dxa"/>
            <w:vMerge w:val="continue"/>
            <w:shd w:val="clear" w:color="auto" w:fill="auto"/>
          </w:tcPr>
          <w:p w14:paraId="15C6D2BA">
            <w:pPr>
              <w:spacing w:before="120" w:line="312" w:lineRule="auto"/>
              <w:rPr>
                <w:rFonts w:hint="default" w:ascii="Arial" w:hAnsi="Arial" w:eastAsia="宋体" w:cs="Arial"/>
                <w:sz w:val="18"/>
                <w:szCs w:val="18"/>
              </w:rPr>
            </w:pPr>
          </w:p>
        </w:tc>
        <w:tc>
          <w:tcPr>
            <w:tcW w:w="1170" w:type="dxa"/>
            <w:shd w:val="clear" w:color="auto" w:fill="auto"/>
          </w:tcPr>
          <w:p w14:paraId="7C3EB709">
            <w:pPr>
              <w:spacing w:before="120" w:line="312" w:lineRule="auto"/>
              <w:rPr>
                <w:rFonts w:hint="default" w:ascii="Arial" w:hAnsi="Arial" w:eastAsia="宋体" w:cs="Arial"/>
                <w:sz w:val="18"/>
                <w:szCs w:val="18"/>
              </w:rPr>
            </w:pPr>
            <w:r>
              <w:rPr>
                <w:rFonts w:hint="default" w:ascii="Arial" w:hAnsi="Arial" w:eastAsia="宋体" w:cs="Arial"/>
                <w:sz w:val="18"/>
                <w:szCs w:val="18"/>
              </w:rPr>
              <w:t>NW-side</w:t>
            </w:r>
          </w:p>
        </w:tc>
        <w:tc>
          <w:tcPr>
            <w:tcW w:w="2497" w:type="dxa"/>
            <w:shd w:val="clear" w:color="auto" w:fill="auto"/>
          </w:tcPr>
          <w:p w14:paraId="552A0CD2">
            <w:pPr>
              <w:tabs>
                <w:tab w:val="left" w:pos="1440"/>
              </w:tabs>
              <w:spacing w:line="276" w:lineRule="auto"/>
              <w:contextualSpacing/>
              <w:jc w:val="both"/>
              <w:rPr>
                <w:rFonts w:hint="default" w:ascii="Arial" w:hAnsi="Arial" w:cs="Arial"/>
                <w:kern w:val="24"/>
                <w:sz w:val="18"/>
                <w:szCs w:val="18"/>
              </w:rPr>
            </w:pPr>
            <w:r>
              <w:rPr>
                <w:rFonts w:hint="default" w:ascii="Arial" w:hAnsi="Arial" w:eastAsia="宋体" w:cs="Arial"/>
                <w:sz w:val="18"/>
                <w:szCs w:val="18"/>
              </w:rPr>
              <w:t>L1-RSRPs, and Beam-IDs if needed, for Set B</w:t>
            </w:r>
          </w:p>
        </w:tc>
        <w:tc>
          <w:tcPr>
            <w:tcW w:w="1890" w:type="dxa"/>
            <w:shd w:val="clear" w:color="auto" w:fill="auto"/>
          </w:tcPr>
          <w:p w14:paraId="1B57F068">
            <w:pPr>
              <w:spacing w:before="120" w:line="312" w:lineRule="auto"/>
              <w:rPr>
                <w:rFonts w:hint="default" w:ascii="Arial" w:hAnsi="Arial" w:eastAsia="宋体" w:cs="Arial"/>
                <w:strike/>
                <w:sz w:val="18"/>
                <w:szCs w:val="18"/>
              </w:rPr>
            </w:pPr>
            <w:r>
              <w:rPr>
                <w:rFonts w:hint="default" w:ascii="Arial" w:hAnsi="Arial" w:eastAsia="宋体" w:cs="Arial"/>
                <w:sz w:val="18"/>
                <w:szCs w:val="18"/>
              </w:rPr>
              <w:t>See Note 1 for L1-RSRPs</w:t>
            </w:r>
          </w:p>
        </w:tc>
        <w:tc>
          <w:tcPr>
            <w:tcW w:w="1530" w:type="dxa"/>
            <w:shd w:val="clear" w:color="auto" w:fill="auto"/>
          </w:tcPr>
          <w:p w14:paraId="07F7DE51">
            <w:pPr>
              <w:spacing w:before="120" w:line="312" w:lineRule="auto"/>
              <w:rPr>
                <w:rFonts w:hint="default" w:ascii="Arial" w:hAnsi="Arial" w:eastAsia="宋体" w:cs="Arial"/>
                <w:sz w:val="18"/>
                <w:szCs w:val="18"/>
              </w:rPr>
            </w:pPr>
            <w:r>
              <w:rPr>
                <w:rFonts w:hint="default" w:ascii="Arial" w:hAnsi="Arial" w:eastAsia="宋体" w:cs="Arial"/>
                <w:sz w:val="18"/>
                <w:szCs w:val="18"/>
              </w:rPr>
              <w:t>Time-critical</w:t>
            </w:r>
          </w:p>
        </w:tc>
        <w:tc>
          <w:tcPr>
            <w:tcW w:w="1620" w:type="dxa"/>
            <w:vMerge w:val="continue"/>
            <w:shd w:val="clear" w:color="auto" w:fill="auto"/>
          </w:tcPr>
          <w:p w14:paraId="662DF2F0">
            <w:pPr>
              <w:spacing w:before="120" w:line="312" w:lineRule="auto"/>
              <w:rPr>
                <w:rFonts w:hint="default" w:ascii="Arial" w:hAnsi="Arial" w:eastAsia="宋体" w:cs="Arial"/>
                <w:sz w:val="18"/>
                <w:szCs w:val="18"/>
              </w:rPr>
            </w:pPr>
          </w:p>
        </w:tc>
      </w:tr>
      <w:tr w14:paraId="4CDFF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70" w:type="dxa"/>
            <w:vMerge w:val="restart"/>
            <w:shd w:val="clear" w:color="auto" w:fill="auto"/>
          </w:tcPr>
          <w:p w14:paraId="4484DF0A">
            <w:pPr>
              <w:spacing w:before="120" w:line="312" w:lineRule="auto"/>
              <w:rPr>
                <w:rFonts w:hint="default" w:ascii="Arial" w:hAnsi="Arial" w:eastAsia="宋体" w:cs="Arial"/>
                <w:sz w:val="18"/>
                <w:szCs w:val="18"/>
              </w:rPr>
            </w:pPr>
            <w:r>
              <w:rPr>
                <w:rFonts w:hint="default" w:ascii="Arial" w:hAnsi="Arial" w:eastAsia="宋体" w:cs="Arial"/>
                <w:sz w:val="18"/>
                <w:szCs w:val="18"/>
              </w:rPr>
              <w:t>Monitoring</w:t>
            </w:r>
          </w:p>
        </w:tc>
        <w:tc>
          <w:tcPr>
            <w:tcW w:w="1170" w:type="dxa"/>
            <w:shd w:val="clear" w:color="auto" w:fill="auto"/>
          </w:tcPr>
          <w:p w14:paraId="16F27AB6">
            <w:pPr>
              <w:spacing w:before="120" w:line="312" w:lineRule="auto"/>
              <w:rPr>
                <w:rFonts w:hint="default" w:ascii="Arial" w:hAnsi="Arial" w:eastAsia="宋体" w:cs="Arial"/>
                <w:sz w:val="18"/>
                <w:szCs w:val="18"/>
              </w:rPr>
            </w:pPr>
            <w:r>
              <w:rPr>
                <w:rFonts w:hint="default" w:ascii="Arial" w:hAnsi="Arial" w:eastAsia="宋体" w:cs="Arial"/>
                <w:sz w:val="18"/>
                <w:szCs w:val="18"/>
              </w:rPr>
              <w:t>UE-side</w:t>
            </w:r>
          </w:p>
        </w:tc>
        <w:tc>
          <w:tcPr>
            <w:tcW w:w="2497" w:type="dxa"/>
            <w:shd w:val="clear" w:color="auto" w:fill="auto"/>
          </w:tcPr>
          <w:p w14:paraId="264DEFB3">
            <w:pPr>
              <w:tabs>
                <w:tab w:val="left" w:pos="1440"/>
              </w:tabs>
              <w:spacing w:line="276" w:lineRule="auto"/>
              <w:contextualSpacing/>
              <w:jc w:val="both"/>
              <w:rPr>
                <w:rFonts w:hint="default" w:ascii="Arial" w:hAnsi="Arial" w:eastAsia="Calibri" w:cs="Arial"/>
                <w:sz w:val="18"/>
                <w:szCs w:val="18"/>
              </w:rPr>
            </w:pPr>
            <w:r>
              <w:rPr>
                <w:rFonts w:hint="default" w:ascii="Arial" w:hAnsi="Arial" w:eastAsia="Calibri" w:cs="Arial"/>
                <w:sz w:val="18"/>
                <w:szCs w:val="18"/>
              </w:rPr>
              <w:t>Event occurrence and/or calculated performance metrics (from UE to NW)</w:t>
            </w:r>
          </w:p>
          <w:p w14:paraId="0E91FD88">
            <w:pPr>
              <w:tabs>
                <w:tab w:val="left" w:pos="1440"/>
              </w:tabs>
              <w:spacing w:line="276" w:lineRule="auto"/>
              <w:contextualSpacing/>
              <w:jc w:val="both"/>
              <w:rPr>
                <w:rFonts w:hint="default" w:ascii="Arial" w:hAnsi="Arial" w:eastAsia="宋体" w:cs="Arial"/>
                <w:sz w:val="18"/>
                <w:szCs w:val="18"/>
              </w:rPr>
            </w:pPr>
            <w:r>
              <w:rPr>
                <w:rFonts w:hint="default" w:ascii="Arial" w:hAnsi="Arial" w:eastAsia="Calibri" w:cs="Arial"/>
                <w:sz w:val="18"/>
                <w:szCs w:val="18"/>
              </w:rPr>
              <w:t>See Note 4</w:t>
            </w:r>
          </w:p>
        </w:tc>
        <w:tc>
          <w:tcPr>
            <w:tcW w:w="1890" w:type="dxa"/>
            <w:shd w:val="clear" w:color="auto" w:fill="auto"/>
          </w:tcPr>
          <w:p w14:paraId="3A4C288E">
            <w:pPr>
              <w:spacing w:before="120" w:line="312" w:lineRule="auto"/>
              <w:rPr>
                <w:rFonts w:hint="default" w:ascii="Arial" w:hAnsi="Arial" w:eastAsia="宋体" w:cs="Arial"/>
                <w:sz w:val="18"/>
                <w:szCs w:val="18"/>
              </w:rPr>
            </w:pPr>
            <w:r>
              <w:rPr>
                <w:rFonts w:hint="default" w:ascii="Arial" w:hAnsi="Arial" w:eastAsia="宋体" w:cs="Arial"/>
                <w:sz w:val="18"/>
                <w:szCs w:val="18"/>
              </w:rPr>
              <w:t>Small (10s of bits)</w:t>
            </w:r>
          </w:p>
        </w:tc>
        <w:tc>
          <w:tcPr>
            <w:tcW w:w="1530" w:type="dxa"/>
            <w:shd w:val="clear" w:color="auto" w:fill="auto"/>
          </w:tcPr>
          <w:p w14:paraId="6B612A12">
            <w:pPr>
              <w:spacing w:before="120" w:line="312" w:lineRule="auto"/>
              <w:rPr>
                <w:rFonts w:hint="default" w:ascii="Arial" w:hAnsi="Arial" w:eastAsia="宋体" w:cs="Arial"/>
                <w:sz w:val="18"/>
                <w:szCs w:val="18"/>
              </w:rPr>
            </w:pPr>
            <w:r>
              <w:rPr>
                <w:rFonts w:hint="default" w:ascii="Arial" w:hAnsi="Arial" w:eastAsia="宋体" w:cs="Arial"/>
                <w:sz w:val="18"/>
                <w:szCs w:val="18"/>
              </w:rPr>
              <w:t>Near-real-time</w:t>
            </w:r>
          </w:p>
        </w:tc>
        <w:tc>
          <w:tcPr>
            <w:tcW w:w="1620" w:type="dxa"/>
            <w:shd w:val="clear" w:color="auto" w:fill="auto"/>
          </w:tcPr>
          <w:p w14:paraId="2D2F8D83">
            <w:pPr>
              <w:spacing w:before="120" w:line="312" w:lineRule="auto"/>
              <w:rPr>
                <w:rFonts w:hint="default" w:ascii="Arial" w:hAnsi="Arial" w:eastAsia="宋体" w:cs="Arial"/>
                <w:sz w:val="18"/>
                <w:szCs w:val="18"/>
              </w:rPr>
            </w:pPr>
          </w:p>
        </w:tc>
      </w:tr>
      <w:tr w14:paraId="7FB7C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trPr>
        <w:tc>
          <w:tcPr>
            <w:tcW w:w="1170" w:type="dxa"/>
            <w:vMerge w:val="continue"/>
            <w:shd w:val="clear" w:color="auto" w:fill="auto"/>
          </w:tcPr>
          <w:p w14:paraId="452DC3DC">
            <w:pPr>
              <w:spacing w:before="120" w:line="312" w:lineRule="auto"/>
              <w:rPr>
                <w:rFonts w:hint="default" w:ascii="Arial" w:hAnsi="Arial" w:eastAsia="宋体" w:cs="Arial"/>
                <w:sz w:val="18"/>
                <w:szCs w:val="18"/>
              </w:rPr>
            </w:pPr>
          </w:p>
        </w:tc>
        <w:tc>
          <w:tcPr>
            <w:tcW w:w="1170" w:type="dxa"/>
            <w:shd w:val="clear" w:color="auto" w:fill="auto"/>
          </w:tcPr>
          <w:p w14:paraId="68EA1F01">
            <w:pPr>
              <w:spacing w:before="120" w:line="312" w:lineRule="auto"/>
              <w:rPr>
                <w:rFonts w:hint="default" w:ascii="Arial" w:hAnsi="Arial" w:eastAsia="宋体" w:cs="Arial"/>
                <w:sz w:val="18"/>
                <w:szCs w:val="18"/>
              </w:rPr>
            </w:pPr>
            <w:r>
              <w:rPr>
                <w:rFonts w:hint="default" w:ascii="Arial" w:hAnsi="Arial" w:eastAsia="宋体" w:cs="Arial"/>
                <w:sz w:val="18"/>
                <w:szCs w:val="18"/>
              </w:rPr>
              <w:t>UE-side</w:t>
            </w:r>
          </w:p>
        </w:tc>
        <w:tc>
          <w:tcPr>
            <w:tcW w:w="2497" w:type="dxa"/>
            <w:shd w:val="clear" w:color="auto" w:fill="auto"/>
          </w:tcPr>
          <w:p w14:paraId="7A24126A">
            <w:pPr>
              <w:spacing w:before="120" w:line="312" w:lineRule="auto"/>
              <w:rPr>
                <w:rFonts w:hint="default" w:ascii="Arial" w:hAnsi="Arial" w:eastAsia="宋体" w:cs="Arial"/>
                <w:sz w:val="18"/>
                <w:szCs w:val="18"/>
              </w:rPr>
            </w:pPr>
            <w:r>
              <w:rPr>
                <w:rFonts w:hint="default" w:ascii="Arial" w:hAnsi="Arial" w:eastAsia="宋体" w:cs="Arial"/>
                <w:sz w:val="18"/>
                <w:szCs w:val="18"/>
              </w:rPr>
              <w:t>L1-RSRP(s) and/or beam-ID(s)</w:t>
            </w:r>
          </w:p>
          <w:p w14:paraId="02884B3C">
            <w:pPr>
              <w:tabs>
                <w:tab w:val="left" w:pos="1440"/>
              </w:tabs>
              <w:spacing w:line="276" w:lineRule="auto"/>
              <w:contextualSpacing/>
              <w:jc w:val="both"/>
              <w:rPr>
                <w:rFonts w:hint="default" w:ascii="Arial" w:hAnsi="Arial" w:eastAsia="Calibri" w:cs="Arial"/>
                <w:sz w:val="18"/>
                <w:szCs w:val="18"/>
              </w:rPr>
            </w:pPr>
            <w:r>
              <w:rPr>
                <w:rFonts w:hint="default" w:ascii="Arial" w:hAnsi="Arial" w:eastAsia="Calibri" w:cs="Arial"/>
                <w:sz w:val="18"/>
                <w:szCs w:val="18"/>
              </w:rPr>
              <w:t>See Note 4</w:t>
            </w:r>
          </w:p>
        </w:tc>
        <w:tc>
          <w:tcPr>
            <w:tcW w:w="1890" w:type="dxa"/>
            <w:shd w:val="clear" w:color="auto" w:fill="auto"/>
          </w:tcPr>
          <w:p w14:paraId="17797EBC">
            <w:pPr>
              <w:spacing w:before="120" w:line="312" w:lineRule="auto"/>
              <w:rPr>
                <w:rFonts w:hint="default" w:ascii="Arial" w:hAnsi="Arial" w:eastAsia="宋体" w:cs="Arial"/>
                <w:sz w:val="18"/>
                <w:szCs w:val="18"/>
                <w:lang w:eastAsia="zh-CN"/>
              </w:rPr>
            </w:pPr>
            <w:r>
              <w:rPr>
                <w:rFonts w:hint="default" w:ascii="Arial" w:hAnsi="Arial" w:eastAsia="宋体" w:cs="Arial"/>
                <w:sz w:val="18"/>
                <w:szCs w:val="18"/>
                <w:lang w:eastAsia="zh-CN"/>
              </w:rPr>
              <w:t>Up to 10 bits, or up to 100 bits, or up to hundreds of bits.</w:t>
            </w:r>
          </w:p>
          <w:p w14:paraId="00783F25">
            <w:pPr>
              <w:spacing w:before="120" w:line="312" w:lineRule="auto"/>
              <w:rPr>
                <w:rFonts w:hint="default" w:ascii="Arial" w:hAnsi="Arial" w:eastAsia="宋体" w:cs="Arial"/>
                <w:sz w:val="18"/>
                <w:szCs w:val="18"/>
              </w:rPr>
            </w:pPr>
            <w:r>
              <w:rPr>
                <w:rFonts w:hint="default" w:ascii="Arial" w:hAnsi="Arial" w:eastAsia="宋体" w:cs="Arial"/>
                <w:sz w:val="18"/>
                <w:szCs w:val="18"/>
              </w:rPr>
              <w:t>See Note 1 for L1-RSRPs</w:t>
            </w:r>
          </w:p>
        </w:tc>
        <w:tc>
          <w:tcPr>
            <w:tcW w:w="1530" w:type="dxa"/>
            <w:shd w:val="clear" w:color="auto" w:fill="auto"/>
          </w:tcPr>
          <w:p w14:paraId="1B1D952C">
            <w:pPr>
              <w:spacing w:before="120" w:line="312" w:lineRule="auto"/>
              <w:rPr>
                <w:rFonts w:hint="default" w:ascii="Arial" w:hAnsi="Arial" w:eastAsia="宋体" w:cs="Arial"/>
                <w:sz w:val="18"/>
                <w:szCs w:val="18"/>
              </w:rPr>
            </w:pPr>
            <w:r>
              <w:rPr>
                <w:rFonts w:hint="default" w:ascii="Arial" w:hAnsi="Arial" w:eastAsia="宋体" w:cs="Arial"/>
                <w:sz w:val="18"/>
                <w:szCs w:val="18"/>
              </w:rPr>
              <w:t>Near-real-time</w:t>
            </w:r>
          </w:p>
        </w:tc>
        <w:tc>
          <w:tcPr>
            <w:tcW w:w="1620" w:type="dxa"/>
            <w:shd w:val="clear" w:color="auto" w:fill="auto"/>
          </w:tcPr>
          <w:p w14:paraId="0955FDCE">
            <w:pPr>
              <w:spacing w:before="120" w:line="312" w:lineRule="auto"/>
              <w:rPr>
                <w:rFonts w:hint="default" w:ascii="Arial" w:hAnsi="Arial" w:eastAsia="宋体" w:cs="Arial"/>
                <w:sz w:val="18"/>
                <w:szCs w:val="18"/>
              </w:rPr>
            </w:pPr>
          </w:p>
        </w:tc>
      </w:tr>
      <w:tr w14:paraId="4DD0A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1170" w:type="dxa"/>
            <w:vMerge w:val="continue"/>
            <w:shd w:val="clear" w:color="auto" w:fill="auto"/>
          </w:tcPr>
          <w:p w14:paraId="669B0EBE">
            <w:pPr>
              <w:spacing w:before="120" w:line="312" w:lineRule="auto"/>
              <w:rPr>
                <w:rFonts w:hint="default" w:ascii="Arial" w:hAnsi="Arial" w:eastAsia="宋体" w:cs="Arial"/>
                <w:b/>
                <w:bCs/>
                <w:sz w:val="18"/>
                <w:szCs w:val="18"/>
              </w:rPr>
            </w:pPr>
          </w:p>
        </w:tc>
        <w:tc>
          <w:tcPr>
            <w:tcW w:w="1170" w:type="dxa"/>
            <w:shd w:val="clear" w:color="auto" w:fill="auto"/>
          </w:tcPr>
          <w:p w14:paraId="430D37DE">
            <w:pPr>
              <w:spacing w:before="120" w:line="312" w:lineRule="auto"/>
              <w:rPr>
                <w:rFonts w:hint="default" w:ascii="Arial" w:hAnsi="Arial" w:eastAsia="宋体" w:cs="Arial"/>
                <w:sz w:val="18"/>
                <w:szCs w:val="18"/>
              </w:rPr>
            </w:pPr>
            <w:r>
              <w:rPr>
                <w:rFonts w:hint="default" w:ascii="Arial" w:hAnsi="Arial" w:eastAsia="宋体" w:cs="Arial"/>
                <w:sz w:val="18"/>
                <w:szCs w:val="18"/>
              </w:rPr>
              <w:t xml:space="preserve">NW-side </w:t>
            </w:r>
          </w:p>
        </w:tc>
        <w:tc>
          <w:tcPr>
            <w:tcW w:w="2497" w:type="dxa"/>
            <w:shd w:val="clear" w:color="auto" w:fill="auto"/>
          </w:tcPr>
          <w:p w14:paraId="763B8A46">
            <w:pPr>
              <w:spacing w:before="120" w:line="312" w:lineRule="auto"/>
              <w:rPr>
                <w:rFonts w:hint="default" w:ascii="Arial" w:hAnsi="Arial" w:eastAsia="宋体" w:cs="Arial"/>
                <w:sz w:val="18"/>
                <w:szCs w:val="18"/>
              </w:rPr>
            </w:pPr>
            <w:r>
              <w:rPr>
                <w:rFonts w:hint="default" w:ascii="Arial" w:hAnsi="Arial" w:eastAsia="宋体" w:cs="Arial"/>
                <w:sz w:val="18"/>
                <w:szCs w:val="18"/>
              </w:rPr>
              <w:t>L1-RSRP(s) and/or beam-ID(s)</w:t>
            </w:r>
          </w:p>
          <w:p w14:paraId="68CE7D38">
            <w:pPr>
              <w:tabs>
                <w:tab w:val="left" w:pos="1440"/>
              </w:tabs>
              <w:spacing w:line="276" w:lineRule="auto"/>
              <w:contextualSpacing/>
              <w:jc w:val="both"/>
              <w:rPr>
                <w:rFonts w:hint="default" w:ascii="Arial" w:hAnsi="Arial" w:eastAsia="宋体" w:cs="Arial"/>
                <w:sz w:val="18"/>
                <w:szCs w:val="18"/>
              </w:rPr>
            </w:pPr>
          </w:p>
          <w:p w14:paraId="0A27AB2D">
            <w:pPr>
              <w:tabs>
                <w:tab w:val="left" w:pos="1440"/>
              </w:tabs>
              <w:spacing w:line="276" w:lineRule="auto"/>
              <w:contextualSpacing/>
              <w:jc w:val="both"/>
              <w:rPr>
                <w:rFonts w:hint="default" w:ascii="Arial" w:hAnsi="Arial" w:eastAsia="宋体" w:cs="Arial"/>
                <w:sz w:val="18"/>
                <w:szCs w:val="18"/>
              </w:rPr>
            </w:pPr>
            <w:r>
              <w:rPr>
                <w:rFonts w:hint="default" w:ascii="Arial" w:hAnsi="Arial" w:eastAsia="Calibri" w:cs="Arial"/>
                <w:sz w:val="18"/>
                <w:szCs w:val="18"/>
              </w:rPr>
              <w:t>See Note 4</w:t>
            </w:r>
          </w:p>
        </w:tc>
        <w:tc>
          <w:tcPr>
            <w:tcW w:w="1890" w:type="dxa"/>
            <w:shd w:val="clear" w:color="auto" w:fill="auto"/>
          </w:tcPr>
          <w:p w14:paraId="127F05A5">
            <w:pPr>
              <w:spacing w:before="120" w:line="312" w:lineRule="auto"/>
              <w:rPr>
                <w:rFonts w:hint="default" w:ascii="Arial" w:hAnsi="Arial" w:eastAsia="宋体" w:cs="Arial"/>
                <w:sz w:val="18"/>
                <w:szCs w:val="18"/>
                <w:lang w:eastAsia="zh-CN"/>
              </w:rPr>
            </w:pPr>
            <w:r>
              <w:rPr>
                <w:rFonts w:hint="default" w:ascii="Arial" w:hAnsi="Arial" w:eastAsia="宋体" w:cs="Arial"/>
                <w:sz w:val="18"/>
                <w:szCs w:val="18"/>
                <w:lang w:eastAsia="zh-CN"/>
              </w:rPr>
              <w:t>Up to 10 bits, or up to 100 bits, or up to hundreds of bits.</w:t>
            </w:r>
          </w:p>
          <w:p w14:paraId="26B9B281">
            <w:pPr>
              <w:spacing w:before="120" w:line="312" w:lineRule="auto"/>
              <w:rPr>
                <w:rFonts w:hint="default" w:ascii="Arial" w:hAnsi="Arial" w:eastAsia="宋体" w:cs="Arial"/>
                <w:strike/>
                <w:sz w:val="18"/>
                <w:szCs w:val="18"/>
              </w:rPr>
            </w:pPr>
            <w:r>
              <w:rPr>
                <w:rFonts w:hint="default" w:ascii="Arial" w:hAnsi="Arial" w:eastAsia="宋体" w:cs="Arial"/>
                <w:sz w:val="18"/>
                <w:szCs w:val="18"/>
              </w:rPr>
              <w:t>See Note 1 for L1-RSRPs</w:t>
            </w:r>
          </w:p>
        </w:tc>
        <w:tc>
          <w:tcPr>
            <w:tcW w:w="1530" w:type="dxa"/>
            <w:shd w:val="clear" w:color="auto" w:fill="auto"/>
          </w:tcPr>
          <w:p w14:paraId="679F0884">
            <w:pPr>
              <w:spacing w:before="120" w:line="312" w:lineRule="auto"/>
              <w:rPr>
                <w:rFonts w:hint="default" w:ascii="Arial" w:hAnsi="Arial" w:eastAsia="宋体" w:cs="Arial"/>
                <w:sz w:val="18"/>
                <w:szCs w:val="18"/>
              </w:rPr>
            </w:pPr>
            <w:r>
              <w:rPr>
                <w:rFonts w:hint="default" w:ascii="Arial" w:hAnsi="Arial" w:eastAsia="宋体" w:cs="Arial"/>
                <w:sz w:val="18"/>
                <w:szCs w:val="18"/>
              </w:rPr>
              <w:t>Near-real-time</w:t>
            </w:r>
          </w:p>
        </w:tc>
        <w:tc>
          <w:tcPr>
            <w:tcW w:w="1620" w:type="dxa"/>
            <w:shd w:val="clear" w:color="auto" w:fill="auto"/>
          </w:tcPr>
          <w:p w14:paraId="34A64A2D">
            <w:pPr>
              <w:spacing w:before="120" w:line="312" w:lineRule="auto"/>
              <w:rPr>
                <w:rFonts w:hint="default" w:ascii="Arial" w:hAnsi="Arial" w:eastAsia="宋体" w:cs="Arial"/>
                <w:sz w:val="18"/>
                <w:szCs w:val="18"/>
              </w:rPr>
            </w:pPr>
          </w:p>
        </w:tc>
      </w:tr>
    </w:tbl>
    <w:p w14:paraId="68E566DB">
      <w:pPr>
        <w:numPr>
          <w:ilvl w:val="0"/>
          <w:numId w:val="0"/>
        </w:numPr>
        <w:spacing w:before="120" w:beforeLines="50" w:after="120" w:line="260" w:lineRule="exact"/>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The data content is common for UE-sided model and NW-sided model training, but different for inference and monitoring. More details can be further discussed based on RAN1 progress.</w:t>
      </w:r>
    </w:p>
    <w:p w14:paraId="6B7FD762">
      <w:pPr>
        <w:numPr>
          <w:ilvl w:val="0"/>
          <w:numId w:val="0"/>
        </w:numPr>
        <w:spacing w:before="120" w:beforeLines="50" w:after="120" w:line="260" w:lineRule="exact"/>
        <w:rPr>
          <w:rFonts w:hint="default" w:ascii="Arial" w:hAnsi="Arial" w:cs="Arial"/>
          <w:b/>
          <w:bCs/>
          <w:sz w:val="20"/>
          <w:szCs w:val="20"/>
          <w:lang w:val="en-US" w:eastAsia="zh-CN"/>
        </w:rPr>
      </w:pPr>
    </w:p>
    <w:p w14:paraId="7E17819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i/>
          <w:iCs/>
          <w:sz w:val="20"/>
          <w:szCs w:val="20"/>
          <w:u w:val="single"/>
          <w:lang w:val="en-US" w:eastAsia="zh-CN"/>
        </w:rPr>
      </w:pPr>
      <w:r>
        <w:rPr>
          <w:rFonts w:hint="eastAsia" w:ascii="Arial" w:hAnsi="Arial" w:cs="Arial"/>
          <w:b/>
          <w:bCs/>
          <w:i/>
          <w:iCs/>
          <w:sz w:val="20"/>
          <w:szCs w:val="20"/>
          <w:u w:val="single"/>
          <w:lang w:val="en-US" w:eastAsia="zh-CN"/>
        </w:rPr>
        <w:t>Issue#3: FFS on memory size</w:t>
      </w:r>
    </w:p>
    <w:p w14:paraId="7CF5C19A">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 xml:space="preserve">RAN2 agreed that </w:t>
      </w:r>
      <w:r>
        <w:rPr>
          <w:rFonts w:hint="default" w:ascii="Arial" w:hAnsi="Arial" w:cs="Arial"/>
          <w:sz w:val="20"/>
          <w:szCs w:val="20"/>
          <w:lang w:val="en-US" w:eastAsia="zh-CN"/>
        </w:rPr>
        <w:t xml:space="preserve">UE stores the logged training data at AS layer with a minimum AS layer memory size supported by the UE. </w:t>
      </w:r>
      <w:r>
        <w:rPr>
          <w:rFonts w:hint="eastAsia" w:ascii="Arial" w:hAnsi="Arial" w:cs="Arial"/>
          <w:sz w:val="20"/>
          <w:szCs w:val="20"/>
          <w:lang w:val="en-US" w:eastAsia="zh-CN"/>
        </w:rPr>
        <w:t xml:space="preserve">In legacy logged MDT and QoE measurement, the minimum AS layer memory size is 64KB [4].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67DD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32876909">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TS 38.306, Section 4.2.18</w:t>
            </w:r>
          </w:p>
          <w:tbl>
            <w:tblPr>
              <w:tblStyle w:val="15"/>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6553"/>
              <w:gridCol w:w="560"/>
              <w:gridCol w:w="553"/>
              <w:gridCol w:w="1016"/>
              <w:gridCol w:w="957"/>
            </w:tblGrid>
            <w:tr w14:paraId="7502C83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7088" w:type="dxa"/>
                  <w:shd w:val="clear" w:color="auto" w:fill="auto"/>
                  <w:vAlign w:val="top"/>
                </w:tcPr>
                <w:p w14:paraId="0F0556D6">
                  <w:pPr>
                    <w:pStyle w:val="41"/>
                    <w:rPr>
                      <w:rFonts w:ascii="Arial" w:hAnsi="Arial" w:eastAsiaTheme="minorEastAsia" w:cstheme="minorBidi"/>
                      <w:b/>
                      <w:kern w:val="2"/>
                      <w:sz w:val="18"/>
                      <w:szCs w:val="22"/>
                      <w:lang w:val="en-US" w:eastAsia="zh-CN" w:bidi="ar-SA"/>
                    </w:rPr>
                  </w:pPr>
                  <w:r>
                    <w:t>Definitions for parameters</w:t>
                  </w:r>
                </w:p>
              </w:tc>
              <w:tc>
                <w:tcPr>
                  <w:tcW w:w="567" w:type="dxa"/>
                  <w:shd w:val="clear" w:color="auto" w:fill="auto"/>
                  <w:vAlign w:val="top"/>
                </w:tcPr>
                <w:p w14:paraId="707A0BA2">
                  <w:pPr>
                    <w:pStyle w:val="41"/>
                    <w:rPr>
                      <w:rFonts w:ascii="Arial" w:hAnsi="Arial" w:eastAsiaTheme="minorEastAsia" w:cstheme="minorBidi"/>
                      <w:b/>
                      <w:kern w:val="2"/>
                      <w:sz w:val="18"/>
                      <w:szCs w:val="22"/>
                      <w:lang w:val="en-US" w:eastAsia="zh-CN" w:bidi="ar-SA"/>
                    </w:rPr>
                  </w:pPr>
                  <w:r>
                    <w:t>Per</w:t>
                  </w:r>
                </w:p>
              </w:tc>
              <w:tc>
                <w:tcPr>
                  <w:tcW w:w="567" w:type="dxa"/>
                  <w:shd w:val="clear" w:color="auto" w:fill="auto"/>
                  <w:vAlign w:val="top"/>
                </w:tcPr>
                <w:p w14:paraId="5694C82C">
                  <w:pPr>
                    <w:pStyle w:val="41"/>
                    <w:rPr>
                      <w:rFonts w:ascii="Arial" w:hAnsi="Arial" w:eastAsiaTheme="minorEastAsia" w:cstheme="minorBidi"/>
                      <w:b/>
                      <w:kern w:val="2"/>
                      <w:sz w:val="18"/>
                      <w:szCs w:val="22"/>
                      <w:lang w:val="en-US" w:eastAsia="zh-CN" w:bidi="ar-SA"/>
                    </w:rPr>
                  </w:pPr>
                  <w:r>
                    <w:t>M</w:t>
                  </w:r>
                </w:p>
              </w:tc>
              <w:tc>
                <w:tcPr>
                  <w:tcW w:w="709" w:type="dxa"/>
                  <w:shd w:val="clear" w:color="auto" w:fill="auto"/>
                  <w:vAlign w:val="top"/>
                </w:tcPr>
                <w:p w14:paraId="00DA41FD">
                  <w:pPr>
                    <w:pStyle w:val="41"/>
                    <w:rPr>
                      <w:rFonts w:ascii="Arial" w:hAnsi="Arial" w:eastAsiaTheme="minorEastAsia" w:cstheme="minorBidi"/>
                      <w:b/>
                      <w:kern w:val="2"/>
                      <w:sz w:val="18"/>
                      <w:szCs w:val="22"/>
                      <w:lang w:val="en-US" w:eastAsia="zh-CN" w:bidi="ar-SA"/>
                    </w:rPr>
                  </w:pPr>
                  <w:r>
                    <w:t>FDD-TDD DIFF</w:t>
                  </w:r>
                </w:p>
              </w:tc>
              <w:tc>
                <w:tcPr>
                  <w:tcW w:w="708" w:type="dxa"/>
                  <w:shd w:val="clear" w:color="auto" w:fill="auto"/>
                  <w:vAlign w:val="top"/>
                </w:tcPr>
                <w:p w14:paraId="25C85E7C">
                  <w:pPr>
                    <w:pStyle w:val="41"/>
                    <w:rPr>
                      <w:rFonts w:ascii="Arial" w:hAnsi="Arial" w:eastAsiaTheme="minorEastAsia" w:cstheme="minorBidi"/>
                      <w:b/>
                      <w:kern w:val="2"/>
                      <w:sz w:val="18"/>
                      <w:szCs w:val="22"/>
                      <w:lang w:val="en-US" w:eastAsia="zh-CN" w:bidi="ar-SA"/>
                    </w:rPr>
                  </w:pPr>
                  <w:r>
                    <w:t>FR1-FR2 DIFF</w:t>
                  </w:r>
                </w:p>
              </w:tc>
            </w:tr>
            <w:tr w14:paraId="0DDF082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7088" w:type="dxa"/>
                </w:tcPr>
                <w:p w14:paraId="61D6A9A4">
                  <w:pPr>
                    <w:pStyle w:val="40"/>
                    <w:rPr>
                      <w:b/>
                      <w:bCs/>
                      <w:i/>
                      <w:iCs/>
                    </w:rPr>
                  </w:pPr>
                  <w:r>
                    <w:rPr>
                      <w:b/>
                      <w:bCs/>
                      <w:i/>
                      <w:iCs/>
                    </w:rPr>
                    <w:t>loggedMeasurements-r16</w:t>
                  </w:r>
                </w:p>
                <w:p w14:paraId="5F70DC89">
                  <w:pPr>
                    <w:pStyle w:val="40"/>
                    <w:rPr>
                      <w:rFonts w:hint="eastAsia" w:cs="Arial" w:eastAsiaTheme="minorEastAsia"/>
                      <w:szCs w:val="18"/>
                      <w:lang w:val="en-US" w:eastAsia="zh-CN"/>
                    </w:rPr>
                  </w:pPr>
                  <w:r>
                    <w:t xml:space="preserve">Indicates whether the UE supports logged measurements in RRC_IDLE and RRC_INACTIVE. A UE that supports logged measurements shall support both periodical logging and event-triggered logging. </w:t>
                  </w:r>
                  <w:r>
                    <w:rPr>
                      <w:highlight w:val="yellow"/>
                    </w:rPr>
                    <w:t>The memory size of MDT logged measurements is 64KB.</w:t>
                  </w:r>
                  <w:r>
                    <w:rPr>
                      <w:rFonts w:hint="eastAsia"/>
                      <w:highlight w:val="none"/>
                      <w:lang w:val="en-US" w:eastAsia="zh-CN"/>
                    </w:rPr>
                    <w:t xml:space="preserve"> </w:t>
                  </w:r>
                  <w:r>
                    <w:t>For eRedCap UE supporting this feature, the minimum memory size of MDT logged measurements is 16KB.</w:t>
                  </w:r>
                </w:p>
              </w:tc>
              <w:tc>
                <w:tcPr>
                  <w:tcW w:w="567" w:type="dxa"/>
                </w:tcPr>
                <w:p w14:paraId="1F718F1D">
                  <w:pPr>
                    <w:pStyle w:val="40"/>
                    <w:jc w:val="center"/>
                    <w:rPr>
                      <w:rFonts w:cs="Arial"/>
                      <w:szCs w:val="18"/>
                    </w:rPr>
                  </w:pPr>
                  <w:r>
                    <w:rPr>
                      <w:rFonts w:cs="Arial"/>
                      <w:szCs w:val="18"/>
                    </w:rPr>
                    <w:t>UE</w:t>
                  </w:r>
                </w:p>
              </w:tc>
              <w:tc>
                <w:tcPr>
                  <w:tcW w:w="567" w:type="dxa"/>
                </w:tcPr>
                <w:p w14:paraId="624ACEC3">
                  <w:pPr>
                    <w:pStyle w:val="40"/>
                    <w:jc w:val="center"/>
                    <w:rPr>
                      <w:rFonts w:cs="Arial"/>
                      <w:szCs w:val="18"/>
                    </w:rPr>
                  </w:pPr>
                  <w:r>
                    <w:rPr>
                      <w:rFonts w:cs="Arial"/>
                      <w:szCs w:val="18"/>
                    </w:rPr>
                    <w:t>No</w:t>
                  </w:r>
                </w:p>
              </w:tc>
              <w:tc>
                <w:tcPr>
                  <w:tcW w:w="709" w:type="dxa"/>
                </w:tcPr>
                <w:p w14:paraId="075A0CCA">
                  <w:pPr>
                    <w:pStyle w:val="40"/>
                    <w:jc w:val="center"/>
                    <w:rPr>
                      <w:rFonts w:cs="Arial"/>
                      <w:szCs w:val="18"/>
                    </w:rPr>
                  </w:pPr>
                  <w:r>
                    <w:rPr>
                      <w:rFonts w:cs="Arial"/>
                      <w:szCs w:val="18"/>
                    </w:rPr>
                    <w:t>No</w:t>
                  </w:r>
                </w:p>
              </w:tc>
              <w:tc>
                <w:tcPr>
                  <w:tcW w:w="708" w:type="dxa"/>
                </w:tcPr>
                <w:p w14:paraId="3F3605BC">
                  <w:pPr>
                    <w:pStyle w:val="40"/>
                    <w:jc w:val="center"/>
                    <w:rPr>
                      <w:rFonts w:cs="Arial"/>
                      <w:szCs w:val="18"/>
                    </w:rPr>
                  </w:pPr>
                  <w:r>
                    <w:rPr>
                      <w:rFonts w:cs="Arial"/>
                      <w:szCs w:val="18"/>
                    </w:rPr>
                    <w:t>No</w:t>
                  </w:r>
                </w:p>
              </w:tc>
            </w:tr>
          </w:tbl>
          <w:p w14:paraId="5124F216">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TS 38.306, Section 6 </w:t>
            </w:r>
          </w:p>
          <w:tbl>
            <w:tblPr>
              <w:tblStyle w:val="15"/>
              <w:tblW w:w="963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4423"/>
              <w:gridCol w:w="5207"/>
            </w:tblGrid>
            <w:tr w14:paraId="46171C8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4423" w:type="dxa"/>
                </w:tcPr>
                <w:p w14:paraId="62AD8BD6">
                  <w:pPr>
                    <w:pStyle w:val="41"/>
                    <w:rPr>
                      <w:rFonts w:cs="Arial"/>
                      <w:szCs w:val="18"/>
                    </w:rPr>
                  </w:pPr>
                  <w:r>
                    <w:rPr>
                      <w:rFonts w:cs="Arial"/>
                      <w:szCs w:val="18"/>
                    </w:rPr>
                    <w:t>Features</w:t>
                  </w:r>
                </w:p>
              </w:tc>
              <w:tc>
                <w:tcPr>
                  <w:tcW w:w="5207" w:type="dxa"/>
                </w:tcPr>
                <w:p w14:paraId="50B98C1B">
                  <w:pPr>
                    <w:pStyle w:val="41"/>
                    <w:rPr>
                      <w:rFonts w:cs="Arial"/>
                      <w:szCs w:val="18"/>
                    </w:rPr>
                  </w:pPr>
                  <w:r>
                    <w:rPr>
                      <w:rFonts w:cs="Arial"/>
                      <w:szCs w:val="18"/>
                    </w:rPr>
                    <w:t>Condition</w:t>
                  </w:r>
                </w:p>
              </w:tc>
            </w:tr>
            <w:tr w14:paraId="3267154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55" w:hRule="atLeast"/>
              </w:trPr>
              <w:tc>
                <w:tcPr>
                  <w:tcW w:w="4423" w:type="dxa"/>
                </w:tcPr>
                <w:p w14:paraId="2523B3CC">
                  <w:pPr>
                    <w:pStyle w:val="40"/>
                  </w:pPr>
                  <w:r>
                    <w:t>AS layer memory size for QoE paused measurement reports</w:t>
                  </w:r>
                </w:p>
              </w:tc>
              <w:tc>
                <w:tcPr>
                  <w:tcW w:w="5207" w:type="dxa"/>
                </w:tcPr>
                <w:p w14:paraId="269B9DDD">
                  <w:pPr>
                    <w:pStyle w:val="40"/>
                  </w:pPr>
                  <w:r>
                    <w:t xml:space="preserve">It is mandatory to support the </w:t>
                  </w:r>
                  <w:r>
                    <w:rPr>
                      <w:highlight w:val="yellow"/>
                    </w:rPr>
                    <w:t>minimum AS layer memory size of 64KB</w:t>
                  </w:r>
                  <w:r>
                    <w:t xml:space="preserve"> for QoE paused measurement reports for UEs which support </w:t>
                  </w:r>
                  <w:r>
                    <w:rPr>
                      <w:i/>
                      <w:iCs/>
                    </w:rPr>
                    <w:t>qoe</w:t>
                  </w:r>
                  <w:r>
                    <w:rPr>
                      <w:i/>
                      <w:iCs/>
                      <w:lang w:eastAsia="zh-CN"/>
                    </w:rPr>
                    <w:t>-Streaming-MeasReport-r17</w:t>
                  </w:r>
                  <w:r>
                    <w:rPr>
                      <w:lang w:eastAsia="zh-CN"/>
                    </w:rPr>
                    <w:t xml:space="preserve">, </w:t>
                  </w:r>
                  <w:r>
                    <w:rPr>
                      <w:i/>
                      <w:iCs/>
                      <w:lang w:eastAsia="zh-CN"/>
                    </w:rPr>
                    <w:t>qoe-MTSI-MeasReport-r17</w:t>
                  </w:r>
                  <w:r>
                    <w:rPr>
                      <w:lang w:eastAsia="zh-CN"/>
                    </w:rPr>
                    <w:t xml:space="preserve"> or </w:t>
                  </w:r>
                  <w:r>
                    <w:rPr>
                      <w:i/>
                      <w:iCs/>
                      <w:lang w:eastAsia="zh-CN"/>
                    </w:rPr>
                    <w:t>qoe-VR-MeasReport-r17</w:t>
                  </w:r>
                  <w:r>
                    <w:rPr>
                      <w:lang w:eastAsia="zh-CN"/>
                    </w:rPr>
                    <w:t>.</w:t>
                  </w:r>
                </w:p>
              </w:tc>
            </w:tr>
            <w:tr w14:paraId="3D4E625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55" w:hRule="atLeast"/>
              </w:trPr>
              <w:tc>
                <w:tcPr>
                  <w:tcW w:w="4423" w:type="dxa"/>
                </w:tcPr>
                <w:p w14:paraId="3583BBAD">
                  <w:pPr>
                    <w:pStyle w:val="40"/>
                  </w:pPr>
                  <w:r>
                    <w:t>AS layer memory size for QoE measurement reports in RRC_IDLE and RRC_INACTIVE</w:t>
                  </w:r>
                </w:p>
              </w:tc>
              <w:tc>
                <w:tcPr>
                  <w:tcW w:w="5207" w:type="dxa"/>
                </w:tcPr>
                <w:p w14:paraId="39BB1BC4">
                  <w:pPr>
                    <w:pStyle w:val="40"/>
                  </w:pPr>
                  <w:r>
                    <w:t xml:space="preserve">It is mandatory to support the </w:t>
                  </w:r>
                  <w:r>
                    <w:rPr>
                      <w:highlight w:val="yellow"/>
                    </w:rPr>
                    <w:t>minimum AS layer memory size of 64KB</w:t>
                  </w:r>
                  <w:r>
                    <w:t xml:space="preserve"> for QoE measurement reports stored in RRC_IDLE/RRC_INACTIVE for UEs which support </w:t>
                  </w:r>
                  <w:r>
                    <w:rPr>
                      <w:i/>
                      <w:iCs/>
                    </w:rPr>
                    <w:t>qoe-IdleInactiveMeasReport-r18</w:t>
                  </w:r>
                  <w:r>
                    <w:t xml:space="preserve"> and any of </w:t>
                  </w:r>
                  <w:r>
                    <w:rPr>
                      <w:i/>
                      <w:iCs/>
                    </w:rPr>
                    <w:t>qoe-Streaming-MeasReport-r17</w:t>
                  </w:r>
                  <w:r>
                    <w:t xml:space="preserve"> or </w:t>
                  </w:r>
                  <w:r>
                    <w:rPr>
                      <w:i/>
                      <w:iCs/>
                    </w:rPr>
                    <w:t>qoe-MTSI-MeasReport-r17</w:t>
                  </w:r>
                  <w:r>
                    <w:t xml:space="preserve"> or </w:t>
                  </w:r>
                  <w:r>
                    <w:rPr>
                      <w:i/>
                      <w:iCs/>
                    </w:rPr>
                    <w:t>qoe-VR-MeasReport-r17</w:t>
                  </w:r>
                  <w:r>
                    <w:t>. This memory size is additional to "AS layer memory size for QoE paused measurement reports"</w:t>
                  </w:r>
                </w:p>
              </w:tc>
            </w:tr>
          </w:tbl>
          <w:p w14:paraId="72AC7B52">
            <w:pPr>
              <w:numPr>
                <w:ilvl w:val="0"/>
                <w:numId w:val="0"/>
              </w:numPr>
              <w:spacing w:before="120" w:beforeLines="50" w:after="120" w:line="260" w:lineRule="exact"/>
              <w:rPr>
                <w:rFonts w:hint="eastAsia" w:ascii="Arial" w:hAnsi="Arial" w:cs="Arial"/>
                <w:sz w:val="20"/>
                <w:szCs w:val="20"/>
                <w:vertAlign w:val="baseline"/>
                <w:lang w:val="en-US" w:eastAsia="zh-CN"/>
              </w:rPr>
            </w:pPr>
          </w:p>
        </w:tc>
      </w:tr>
    </w:tbl>
    <w:p w14:paraId="4832C50C">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For NW data collection, considering there are multiple use cases which needs training data, we think the legacy value is baseline and other larger value is preferred, i.e. the minimum AS layer memory size is at least 64KB.</w:t>
      </w:r>
    </w:p>
    <w:p w14:paraId="20807477">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Proposal 5: The minimum AS layer memory size for training data logging is at least 64KB.</w:t>
      </w:r>
    </w:p>
    <w:p w14:paraId="6F264246">
      <w:pPr>
        <w:numPr>
          <w:ilvl w:val="0"/>
          <w:numId w:val="0"/>
        </w:numPr>
        <w:spacing w:before="120" w:beforeLines="50" w:after="120" w:line="240" w:lineRule="auto"/>
        <w:jc w:val="both"/>
        <w:rPr>
          <w:rFonts w:hint="default" w:ascii="Arial" w:hAnsi="Arial" w:eastAsia="宋体" w:cs="Arial"/>
          <w:b/>
          <w:bCs/>
          <w:sz w:val="20"/>
          <w:szCs w:val="20"/>
          <w:lang w:val="en-US" w:eastAsia="zh-CN"/>
        </w:rPr>
      </w:pPr>
    </w:p>
    <w:p w14:paraId="520E30A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0"/>
          <w:highlight w:val="none"/>
          <w:lang w:val="en-US" w:eastAsia="zh-CN"/>
        </w:rPr>
      </w:pPr>
      <w:r>
        <w:rPr>
          <w:rFonts w:hint="eastAsia" w:ascii="Arial" w:hAnsi="Arial" w:cs="Arial"/>
          <w:b/>
          <w:bCs/>
          <w:i/>
          <w:iCs/>
          <w:sz w:val="20"/>
          <w:szCs w:val="20"/>
          <w:highlight w:val="none"/>
          <w:u w:val="single"/>
          <w:lang w:val="en-US" w:eastAsia="zh-CN"/>
        </w:rPr>
        <w:t>Issue#4: FFS on logged time</w:t>
      </w:r>
    </w:p>
    <w:p w14:paraId="67CD179C">
      <w:pPr>
        <w:numPr>
          <w:ilvl w:val="0"/>
          <w:numId w:val="0"/>
        </w:numPr>
        <w:spacing w:before="120" w:beforeLines="50" w:after="120" w:line="260" w:lineRule="exact"/>
        <w:rPr>
          <w:rFonts w:hint="eastAsia" w:ascii="Arial" w:hAnsi="Arial" w:cs="Arial"/>
          <w:i w:val="0"/>
          <w:iCs w:val="0"/>
          <w:sz w:val="20"/>
          <w:szCs w:val="20"/>
          <w:lang w:val="en-US" w:eastAsia="zh-CN"/>
        </w:rPr>
      </w:pPr>
      <w:r>
        <w:rPr>
          <w:rFonts w:hint="eastAsia" w:ascii="Arial" w:hAnsi="Arial" w:cs="Arial"/>
          <w:i w:val="0"/>
          <w:iCs w:val="0"/>
          <w:sz w:val="20"/>
          <w:szCs w:val="20"/>
          <w:lang w:val="en-US" w:eastAsia="zh-CN"/>
        </w:rPr>
        <w:t xml:space="preserve">For temporal beam prediction, the time info is necessary for model training. In legacy logged MDT reporting, the absolute time info </w:t>
      </w:r>
      <w:r>
        <w:rPr>
          <w:rFonts w:hint="eastAsia" w:ascii="Arial" w:hAnsi="Arial" w:cs="Arial"/>
          <w:i/>
          <w:iCs/>
          <w:sz w:val="20"/>
          <w:szCs w:val="20"/>
          <w:lang w:val="en-US" w:eastAsia="zh-CN"/>
        </w:rPr>
        <w:t xml:space="preserve">absoluteTimeStamp </w:t>
      </w:r>
      <w:r>
        <w:rPr>
          <w:rFonts w:hint="eastAsia" w:ascii="Arial" w:hAnsi="Arial" w:cs="Arial"/>
          <w:i w:val="0"/>
          <w:iCs w:val="0"/>
          <w:sz w:val="20"/>
          <w:szCs w:val="20"/>
          <w:lang w:val="en-US" w:eastAsia="zh-CN"/>
        </w:rPr>
        <w:t xml:space="preserve">(48bits, as specified in [3]) when the logged measurement is provided and the relative time info </w:t>
      </w:r>
      <w:r>
        <w:rPr>
          <w:rFonts w:hint="eastAsia" w:ascii="Arial" w:hAnsi="Arial" w:cs="Arial"/>
          <w:i/>
          <w:iCs/>
          <w:sz w:val="20"/>
          <w:szCs w:val="20"/>
          <w:lang w:val="en-US" w:eastAsia="zh-CN"/>
        </w:rPr>
        <w:t xml:space="preserve">relativeTimeStamp </w:t>
      </w:r>
      <w:r>
        <w:rPr>
          <w:rFonts w:hint="eastAsia" w:ascii="Arial" w:hAnsi="Arial" w:cs="Arial"/>
          <w:i w:val="0"/>
          <w:iCs w:val="0"/>
          <w:sz w:val="20"/>
          <w:szCs w:val="20"/>
          <w:lang w:val="en-US" w:eastAsia="zh-CN"/>
        </w:rPr>
        <w:t>(as specified in [3]) which</w:t>
      </w:r>
      <w:r>
        <w:rPr>
          <w:rFonts w:hint="eastAsia" w:ascii="Arial" w:hAnsi="Arial" w:cs="Arial"/>
          <w:i/>
          <w:iCs/>
          <w:sz w:val="20"/>
          <w:szCs w:val="20"/>
          <w:lang w:val="en-US" w:eastAsia="zh-CN"/>
        </w:rPr>
        <w:t xml:space="preserve"> </w:t>
      </w:r>
      <w:r>
        <w:rPr>
          <w:rFonts w:hint="eastAsia" w:ascii="Arial" w:hAnsi="Arial" w:cs="Arial"/>
          <w:i w:val="0"/>
          <w:iCs w:val="0"/>
          <w:sz w:val="20"/>
          <w:szCs w:val="20"/>
          <w:lang w:val="en-US" w:eastAsia="zh-CN"/>
        </w:rPr>
        <w:t xml:space="preserve">indicates the time of logging measurement results would be included in </w:t>
      </w:r>
      <w:r>
        <w:rPr>
          <w:rFonts w:hint="eastAsia" w:ascii="Arial" w:hAnsi="Arial" w:cs="Arial"/>
          <w:i/>
          <w:iCs/>
          <w:sz w:val="20"/>
          <w:szCs w:val="20"/>
          <w:lang w:val="en-US" w:eastAsia="zh-CN"/>
        </w:rPr>
        <w:t>UEInformationResponse</w:t>
      </w:r>
      <w:r>
        <w:rPr>
          <w:rFonts w:hint="eastAsia" w:ascii="Arial" w:hAnsi="Arial" w:cs="Arial"/>
          <w:i w:val="0"/>
          <w:iCs w:val="0"/>
          <w:sz w:val="20"/>
          <w:szCs w:val="20"/>
          <w:lang w:val="en-US" w:eastAsia="zh-CN"/>
        </w:rPr>
        <w:t xml:space="preserve"> message. The similar principle can be reused for training data reporting to reduce the signaling overhead.</w:t>
      </w:r>
    </w:p>
    <w:p w14:paraId="6B30DCFE">
      <w:pPr>
        <w:numPr>
          <w:ilvl w:val="0"/>
          <w:numId w:val="0"/>
        </w:numPr>
        <w:spacing w:before="120" w:beforeLines="50" w:after="120" w:line="260" w:lineRule="exact"/>
        <w:rPr>
          <w:rFonts w:hint="default" w:ascii="Arial" w:hAnsi="Arial" w:cs="Arial"/>
          <w:b/>
          <w:bCs/>
          <w:i w:val="0"/>
          <w:iCs w:val="0"/>
          <w:sz w:val="20"/>
          <w:szCs w:val="20"/>
          <w:lang w:val="en-US" w:eastAsia="zh-CN"/>
        </w:rPr>
      </w:pPr>
      <w:r>
        <w:rPr>
          <w:rFonts w:hint="eastAsia" w:ascii="Arial" w:hAnsi="Arial" w:cs="Arial"/>
          <w:b/>
          <w:bCs/>
          <w:i w:val="0"/>
          <w:iCs w:val="0"/>
          <w:sz w:val="20"/>
          <w:szCs w:val="20"/>
          <w:lang w:val="en-US" w:eastAsia="zh-CN"/>
        </w:rPr>
        <w:t>Proposal 6: The absolute time stamp is used to indicate the time of report, and relative time stamp is used to indicate the time of logged measurement results, similar as logged MDT.</w:t>
      </w:r>
    </w:p>
    <w:p w14:paraId="058AD657">
      <w:pPr>
        <w:numPr>
          <w:ilvl w:val="0"/>
          <w:numId w:val="0"/>
        </w:numPr>
        <w:spacing w:before="120" w:beforeLines="50" w:after="120" w:line="240" w:lineRule="auto"/>
        <w:jc w:val="both"/>
        <w:rPr>
          <w:rFonts w:hint="default"/>
          <w:lang w:val="en-US" w:eastAsia="zh-CN"/>
        </w:rPr>
      </w:pPr>
      <w:r>
        <w:rPr>
          <w:rFonts w:hint="eastAsia" w:ascii="Arial" w:hAnsi="Arial" w:cs="Arial"/>
          <w:sz w:val="20"/>
          <w:szCs w:val="20"/>
          <w:lang w:val="en-US" w:eastAsia="zh-CN"/>
        </w:rPr>
        <w:t xml:space="preserve"> </w:t>
      </w:r>
    </w:p>
    <w:p w14:paraId="0B79ADBB">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val="0"/>
          <w:bCs/>
          <w:sz w:val="28"/>
          <w:szCs w:val="28"/>
          <w:lang w:val="en-US" w:eastAsia="zh-CN"/>
        </w:rPr>
      </w:pPr>
      <w:r>
        <w:rPr>
          <w:rFonts w:hint="eastAsia" w:ascii="Arial" w:hAnsi="Arial" w:cs="Arial"/>
          <w:b w:val="0"/>
          <w:bCs/>
          <w:sz w:val="28"/>
          <w:szCs w:val="28"/>
          <w:lang w:val="en-US" w:eastAsia="zh-CN"/>
        </w:rPr>
        <w:t>2.2 NW side data collection for Positioning</w:t>
      </w:r>
    </w:p>
    <w:p w14:paraId="53337868">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2"/>
        <w:rPr>
          <w:rFonts w:hint="default" w:ascii="Arial" w:hAnsi="Arial" w:cs="Arial"/>
          <w:b w:val="0"/>
          <w:bCs/>
          <w:sz w:val="24"/>
          <w:szCs w:val="24"/>
          <w:lang w:val="en-US" w:eastAsia="zh-CN"/>
        </w:rPr>
      </w:pPr>
      <w:r>
        <w:rPr>
          <w:rFonts w:hint="eastAsia" w:ascii="Arial" w:hAnsi="Arial" w:cs="Arial"/>
          <w:b w:val="0"/>
          <w:bCs/>
          <w:sz w:val="24"/>
          <w:szCs w:val="24"/>
          <w:lang w:val="en-US" w:eastAsia="zh-CN"/>
        </w:rPr>
        <w:t>2.2.1 Positioning with gNB-sided model (case 3a)</w:t>
      </w:r>
    </w:p>
    <w:p w14:paraId="49E3C526">
      <w:pPr>
        <w:numPr>
          <w:ilvl w:val="0"/>
          <w:numId w:val="0"/>
        </w:numPr>
        <w:spacing w:before="120" w:beforeLines="50" w:after="120" w:line="240" w:lineRule="auto"/>
        <w:jc w:val="center"/>
      </w:pPr>
      <w:r>
        <w:drawing>
          <wp:inline distT="0" distB="0" distL="114300" distR="114300">
            <wp:extent cx="977900" cy="1581150"/>
            <wp:effectExtent l="0" t="0" r="317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5"/>
                    <a:srcRect l="63915" t="1274" r="18840" b="11964"/>
                    <a:stretch>
                      <a:fillRect/>
                    </a:stretch>
                  </pic:blipFill>
                  <pic:spPr>
                    <a:xfrm>
                      <a:off x="0" y="0"/>
                      <a:ext cx="977900" cy="1581150"/>
                    </a:xfrm>
                    <a:prstGeom prst="rect">
                      <a:avLst/>
                    </a:prstGeom>
                  </pic:spPr>
                </pic:pic>
              </a:graphicData>
            </a:graphic>
          </wp:inline>
        </w:drawing>
      </w:r>
    </w:p>
    <w:p w14:paraId="72673A26">
      <w:pPr>
        <w:numPr>
          <w:ilvl w:val="0"/>
          <w:numId w:val="0"/>
        </w:numPr>
        <w:spacing w:before="120" w:beforeLines="50" w:after="120" w:line="240" w:lineRule="auto"/>
        <w:jc w:val="center"/>
        <w:rPr>
          <w:rFonts w:hint="default"/>
          <w:b w:val="0"/>
          <w:bCs w:val="0"/>
          <w:lang w:val="en-US" w:eastAsia="zh-CN"/>
        </w:rPr>
      </w:pPr>
      <w:r>
        <w:rPr>
          <w:rFonts w:hint="eastAsia" w:ascii="Arial" w:hAnsi="Arial" w:eastAsia="宋体" w:cs="Arial"/>
          <w:b w:val="0"/>
          <w:bCs w:val="0"/>
          <w:sz w:val="20"/>
          <w:szCs w:val="20"/>
          <w:lang w:val="en-US" w:eastAsia="zh-CN"/>
        </w:rPr>
        <w:t>Figure 3. Positioning with gNB-sided model (case 3a)</w:t>
      </w:r>
    </w:p>
    <w:p w14:paraId="6FB70F0A">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During the R18 study, the entity for gNB-sided model training can reside at gNB or OAM. Based on the following RAN1 agreement, the label and its related data (e.g., time stamp) for training can be generated by at least LMF. So the training data will be transmitted to gNB from LMF, and this has no impact on LPP.</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2DEC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7C43E57">
            <w:pPr>
              <w:rPr>
                <w:rFonts w:hint="default" w:ascii="Arial" w:hAnsi="Arial" w:cs="Arial"/>
                <w:sz w:val="20"/>
                <w:szCs w:val="20"/>
                <w:highlight w:val="green"/>
              </w:rPr>
            </w:pPr>
            <w:r>
              <w:rPr>
                <w:rFonts w:hint="default" w:ascii="Arial" w:hAnsi="Arial" w:cs="Arial"/>
                <w:sz w:val="20"/>
                <w:szCs w:val="20"/>
                <w:highlight w:val="green"/>
                <w:lang w:val="en-US" w:eastAsia="zh-CN"/>
              </w:rPr>
              <w:t xml:space="preserve">RAN1#116bis </w:t>
            </w:r>
            <w:r>
              <w:rPr>
                <w:rFonts w:hint="default" w:ascii="Arial" w:hAnsi="Arial" w:cs="Arial"/>
                <w:sz w:val="20"/>
                <w:szCs w:val="20"/>
                <w:highlight w:val="green"/>
              </w:rPr>
              <w:t>Agreement</w:t>
            </w:r>
          </w:p>
          <w:p w14:paraId="2BB7A253">
            <w:pPr>
              <w:rPr>
                <w:rFonts w:hint="default" w:ascii="Arial" w:hAnsi="Arial" w:cs="Arial"/>
                <w:sz w:val="20"/>
                <w:szCs w:val="20"/>
              </w:rPr>
            </w:pPr>
            <w:r>
              <w:rPr>
                <w:rFonts w:hint="default" w:ascii="Arial" w:hAnsi="Arial" w:cs="Arial"/>
                <w:sz w:val="20"/>
                <w:szCs w:val="20"/>
              </w:rPr>
              <w:t xml:space="preserve">For training data generation of AI/ML based positioning Case 3a, </w:t>
            </w:r>
            <w:r>
              <w:rPr>
                <w:rFonts w:hint="default" w:ascii="Arial" w:hAnsi="Arial" w:cs="Arial"/>
                <w:sz w:val="20"/>
                <w:szCs w:val="20"/>
                <w:highlight w:val="yellow"/>
              </w:rPr>
              <w:t>the label and its related data (e.g., time stamp) can be generated by at least:</w:t>
            </w:r>
          </w:p>
          <w:p w14:paraId="48815BB8">
            <w:pPr>
              <w:pStyle w:val="24"/>
              <w:widowControl w:val="0"/>
              <w:numPr>
                <w:ilvl w:val="0"/>
                <w:numId w:val="8"/>
              </w:numPr>
              <w:ind w:leftChars="0"/>
              <w:jc w:val="both"/>
              <w:rPr>
                <w:rFonts w:hint="default" w:ascii="Arial" w:hAnsi="Arial" w:cs="Arial"/>
                <w:sz w:val="20"/>
                <w:szCs w:val="20"/>
              </w:rPr>
            </w:pPr>
            <w:r>
              <w:rPr>
                <w:rFonts w:hint="default" w:ascii="Arial" w:hAnsi="Arial" w:cs="Arial"/>
                <w:sz w:val="20"/>
                <w:szCs w:val="20"/>
                <w:highlight w:val="yellow"/>
                <w:lang w:val="en-US"/>
              </w:rPr>
              <w:t>LMF</w:t>
            </w:r>
            <w:r>
              <w:rPr>
                <w:rFonts w:hint="default" w:ascii="Arial" w:hAnsi="Arial" w:cs="Arial"/>
                <w:sz w:val="20"/>
                <w:szCs w:val="20"/>
                <w:lang w:val="en-US"/>
              </w:rPr>
              <w:t xml:space="preserve"> </w:t>
            </w:r>
          </w:p>
          <w:p w14:paraId="11A40ACC">
            <w:pPr>
              <w:rPr>
                <w:rFonts w:hint="default" w:ascii="Arial" w:hAnsi="Arial" w:cs="Arial"/>
                <w:sz w:val="20"/>
                <w:szCs w:val="20"/>
              </w:rPr>
            </w:pPr>
            <w:r>
              <w:rPr>
                <w:rFonts w:hint="default" w:ascii="Arial" w:hAnsi="Arial" w:cs="Arial"/>
                <w:sz w:val="20"/>
                <w:szCs w:val="20"/>
              </w:rPr>
              <w:t xml:space="preserve">Note: transfer of label and its related data is out of RAN1 scope. </w:t>
            </w:r>
          </w:p>
          <w:p w14:paraId="5DC79FD5">
            <w:pPr>
              <w:rPr>
                <w:rFonts w:hint="eastAsia" w:ascii="Arial" w:hAnsi="Arial" w:eastAsia="宋体" w:cs="Arial"/>
                <w:b w:val="0"/>
                <w:bCs w:val="0"/>
                <w:sz w:val="20"/>
                <w:szCs w:val="20"/>
                <w:vertAlign w:val="baseline"/>
                <w:lang w:val="en-US" w:eastAsia="zh-CN"/>
              </w:rPr>
            </w:pPr>
            <w:r>
              <w:rPr>
                <w:rFonts w:hint="default" w:ascii="Arial" w:hAnsi="Arial" w:cs="Arial"/>
                <w:sz w:val="20"/>
                <w:szCs w:val="20"/>
              </w:rPr>
              <w:t xml:space="preserve">Note: whether other network entities can generate label for Case 3a is out of RAN1 scope. </w:t>
            </w:r>
          </w:p>
        </w:tc>
      </w:tr>
    </w:tbl>
    <w:p w14:paraId="14E8E996">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Observation 1: For case 3a, the label and its related data for training can be generated by LMF then sent to gNB based on RAN1 agreement, which has no impact on LPP.</w:t>
      </w:r>
    </w:p>
    <w:p w14:paraId="5D9D8543">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Based on the following RAN1 agreement and conclusion, the measurements for determining model input are based on the existing SRS in R19 discussion, and the existing procedure can be reused in terms of SRS configuration for case 3a.</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EAE3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4646B51">
            <w:pPr>
              <w:rPr>
                <w:rFonts w:hint="default" w:ascii="Arial" w:hAnsi="Arial" w:eastAsia="等线" w:cs="Arial"/>
                <w:b w:val="0"/>
                <w:bCs w:val="0"/>
                <w:sz w:val="20"/>
                <w:szCs w:val="21"/>
                <w:highlight w:val="green"/>
                <w:lang w:eastAsia="zh-CN"/>
              </w:rPr>
            </w:pPr>
            <w:r>
              <w:rPr>
                <w:rFonts w:hint="eastAsia" w:ascii="Arial" w:hAnsi="Arial" w:eastAsia="等线" w:cs="Arial"/>
                <w:b w:val="0"/>
                <w:bCs w:val="0"/>
                <w:sz w:val="20"/>
                <w:szCs w:val="21"/>
                <w:highlight w:val="green"/>
                <w:lang w:val="en-US" w:eastAsia="zh-CN"/>
              </w:rPr>
              <w:t xml:space="preserve">RAN1#116 </w:t>
            </w:r>
            <w:r>
              <w:rPr>
                <w:rFonts w:hint="default" w:ascii="Arial" w:hAnsi="Arial" w:eastAsia="等线" w:cs="Arial"/>
                <w:b w:val="0"/>
                <w:bCs w:val="0"/>
                <w:sz w:val="20"/>
                <w:szCs w:val="21"/>
                <w:highlight w:val="green"/>
                <w:lang w:eastAsia="zh-CN"/>
              </w:rPr>
              <w:t>Agreement</w:t>
            </w:r>
          </w:p>
          <w:p w14:paraId="0685C666">
            <w:pPr>
              <w:rPr>
                <w:rFonts w:hint="default" w:ascii="Arial" w:hAnsi="Arial" w:cs="Arial"/>
                <w:sz w:val="20"/>
                <w:szCs w:val="21"/>
              </w:rPr>
            </w:pPr>
            <w:r>
              <w:rPr>
                <w:rFonts w:hint="default" w:ascii="Arial" w:hAnsi="Arial" w:cs="Arial"/>
                <w:sz w:val="20"/>
                <w:szCs w:val="21"/>
              </w:rPr>
              <w:t>For Rel-19 AI/ML based positioning</w:t>
            </w:r>
            <w:r>
              <w:rPr>
                <w:rFonts w:hint="default" w:ascii="Arial" w:hAnsi="Arial" w:cs="Arial"/>
                <w:sz w:val="20"/>
                <w:szCs w:val="21"/>
                <w:highlight w:val="yellow"/>
              </w:rPr>
              <w:t>, the measurements for determining model input are based on the DL PRS and UL SRS defined in TS38.211</w:t>
            </w:r>
            <w:r>
              <w:rPr>
                <w:rFonts w:hint="default" w:ascii="Arial" w:hAnsi="Arial" w:cs="Arial"/>
                <w:sz w:val="20"/>
                <w:szCs w:val="21"/>
              </w:rPr>
              <w:t>.</w:t>
            </w:r>
          </w:p>
          <w:p w14:paraId="5B7FE8BC">
            <w:pPr>
              <w:pStyle w:val="24"/>
              <w:widowControl w:val="0"/>
              <w:numPr>
                <w:ilvl w:val="0"/>
                <w:numId w:val="9"/>
              </w:numPr>
              <w:ind w:leftChars="0"/>
              <w:jc w:val="both"/>
              <w:rPr>
                <w:rFonts w:hint="default" w:ascii="Arial" w:hAnsi="Arial" w:eastAsia="宋体" w:cs="Arial"/>
                <w:b w:val="0"/>
                <w:bCs w:val="0"/>
                <w:sz w:val="20"/>
                <w:szCs w:val="20"/>
                <w:vertAlign w:val="baseline"/>
                <w:lang w:val="en-US" w:eastAsia="zh-CN"/>
              </w:rPr>
            </w:pPr>
            <w:r>
              <w:rPr>
                <w:rFonts w:hint="default" w:ascii="Arial" w:hAnsi="Arial" w:cs="Arial"/>
                <w:sz w:val="20"/>
                <w:szCs w:val="21"/>
              </w:rPr>
              <w:t>Note: The use of SRS for MIMO resource is transparent to UE.</w:t>
            </w:r>
          </w:p>
          <w:p w14:paraId="4C8D8728">
            <w:pPr>
              <w:rPr>
                <w:rFonts w:hint="default" w:ascii="Arial" w:hAnsi="Arial" w:eastAsia="等线" w:cs="Arial"/>
                <w:sz w:val="20"/>
                <w:szCs w:val="20"/>
                <w:lang w:val="en-US" w:eastAsia="zh-CN"/>
              </w:rPr>
            </w:pPr>
          </w:p>
          <w:p w14:paraId="6AF2B346">
            <w:pPr>
              <w:rPr>
                <w:rFonts w:hint="default" w:ascii="Arial" w:hAnsi="Arial" w:eastAsia="等线" w:cs="Arial"/>
                <w:sz w:val="20"/>
                <w:szCs w:val="20"/>
                <w:lang w:eastAsia="zh-CN"/>
              </w:rPr>
            </w:pPr>
            <w:r>
              <w:rPr>
                <w:rFonts w:hint="default" w:ascii="Arial" w:hAnsi="Arial" w:eastAsia="等线" w:cs="Arial"/>
                <w:sz w:val="20"/>
                <w:szCs w:val="20"/>
                <w:lang w:val="en-US" w:eastAsia="zh-CN"/>
              </w:rPr>
              <w:t xml:space="preserve">RAN1#118 </w:t>
            </w:r>
            <w:r>
              <w:rPr>
                <w:rFonts w:hint="default" w:ascii="Arial" w:hAnsi="Arial" w:eastAsia="等线" w:cs="Arial"/>
                <w:sz w:val="20"/>
                <w:szCs w:val="20"/>
                <w:lang w:eastAsia="zh-CN"/>
              </w:rPr>
              <w:t>Conclusion</w:t>
            </w:r>
          </w:p>
          <w:p w14:paraId="7BD47664">
            <w:pPr>
              <w:rPr>
                <w:rFonts w:hint="default" w:ascii="Arial" w:hAnsi="Arial" w:cs="Arial"/>
                <w:sz w:val="20"/>
                <w:szCs w:val="20"/>
              </w:rPr>
            </w:pPr>
            <w:r>
              <w:rPr>
                <w:rFonts w:hint="default" w:ascii="Arial" w:hAnsi="Arial" w:eastAsia="Calibri" w:cs="Arial"/>
                <w:sz w:val="20"/>
                <w:szCs w:val="20"/>
              </w:rPr>
              <w:t>From RAN1 perspective,</w:t>
            </w:r>
            <w:r>
              <w:rPr>
                <w:rFonts w:hint="default" w:ascii="Arial" w:hAnsi="Arial" w:cs="Arial"/>
                <w:sz w:val="20"/>
                <w:szCs w:val="20"/>
              </w:rPr>
              <w:t xml:space="preserve"> for Case 3a measurements,  </w:t>
            </w:r>
          </w:p>
          <w:p w14:paraId="20CEE52C">
            <w:pPr>
              <w:pStyle w:val="24"/>
              <w:numPr>
                <w:ilvl w:val="0"/>
                <w:numId w:val="10"/>
              </w:numPr>
              <w:suppressAutoHyphens/>
              <w:spacing w:after="80" w:line="276" w:lineRule="auto"/>
              <w:ind w:left="840" w:leftChars="0" w:firstLine="0" w:firstLineChars="0"/>
              <w:rPr>
                <w:rFonts w:hint="default" w:ascii="Arial" w:hAnsi="Arial" w:cs="Arial"/>
                <w:sz w:val="20"/>
                <w:szCs w:val="20"/>
              </w:rPr>
            </w:pPr>
            <w:r>
              <w:rPr>
                <w:rFonts w:hint="default" w:ascii="Arial" w:hAnsi="Arial" w:cs="Arial"/>
                <w:sz w:val="20"/>
                <w:szCs w:val="20"/>
                <w:highlight w:val="yellow"/>
              </w:rPr>
              <w:t xml:space="preserve">The </w:t>
            </w:r>
            <w:r>
              <w:rPr>
                <w:rFonts w:hint="default" w:ascii="Arial" w:hAnsi="Arial" w:cs="Arial"/>
                <w:kern w:val="0"/>
                <w:sz w:val="20"/>
                <w:szCs w:val="20"/>
                <w:highlight w:val="yellow"/>
                <w:lang w:val="en-US" w:eastAsia="zh-CN"/>
              </w:rPr>
              <w:t xml:space="preserve">existing </w:t>
            </w:r>
            <w:r>
              <w:rPr>
                <w:rFonts w:hint="default" w:ascii="Arial" w:hAnsi="Arial" w:cs="Arial"/>
                <w:sz w:val="20"/>
                <w:szCs w:val="20"/>
                <w:highlight w:val="yellow"/>
              </w:rPr>
              <w:t xml:space="preserve">procedures </w:t>
            </w:r>
            <w:r>
              <w:rPr>
                <w:rFonts w:hint="default" w:ascii="Arial" w:hAnsi="Arial" w:eastAsia="等线" w:cs="Arial"/>
                <w:sz w:val="20"/>
                <w:szCs w:val="20"/>
                <w:highlight w:val="yellow"/>
                <w:lang w:eastAsia="zh-CN"/>
              </w:rPr>
              <w:t xml:space="preserve">can be </w:t>
            </w:r>
            <w:r>
              <w:rPr>
                <w:rFonts w:hint="default" w:ascii="Arial" w:hAnsi="Arial" w:cs="Arial"/>
                <w:sz w:val="20"/>
                <w:szCs w:val="20"/>
                <w:highlight w:val="yellow"/>
              </w:rPr>
              <w:t>reused in terms of SRS configuration</w:t>
            </w:r>
            <w:r>
              <w:rPr>
                <w:rFonts w:hint="default" w:ascii="Arial" w:hAnsi="Arial" w:cs="Arial"/>
                <w:sz w:val="20"/>
                <w:szCs w:val="20"/>
              </w:rPr>
              <w:t>.</w:t>
            </w:r>
          </w:p>
          <w:p w14:paraId="3C3A92CA">
            <w:pPr>
              <w:pStyle w:val="24"/>
              <w:numPr>
                <w:ilvl w:val="1"/>
                <w:numId w:val="11"/>
              </w:numPr>
              <w:suppressAutoHyphens/>
              <w:spacing w:after="80" w:line="276" w:lineRule="auto"/>
              <w:ind w:leftChars="0"/>
              <w:rPr>
                <w:rFonts w:hint="default" w:ascii="Arial" w:hAnsi="Arial" w:cs="Arial"/>
                <w:sz w:val="20"/>
                <w:szCs w:val="20"/>
              </w:rPr>
            </w:pPr>
            <w:r>
              <w:rPr>
                <w:rFonts w:hint="default" w:ascii="Arial" w:hAnsi="Arial" w:cs="Arial"/>
                <w:sz w:val="20"/>
                <w:szCs w:val="20"/>
              </w:rPr>
              <w:t>Note: parameter values for SRS configuration can be further discussed</w:t>
            </w:r>
          </w:p>
          <w:p w14:paraId="2E1E2600">
            <w:pPr>
              <w:pStyle w:val="24"/>
              <w:numPr>
                <w:ilvl w:val="0"/>
                <w:numId w:val="10"/>
              </w:numPr>
              <w:suppressAutoHyphens/>
              <w:spacing w:after="80" w:line="276" w:lineRule="auto"/>
              <w:ind w:left="840" w:leftChars="0" w:firstLine="0" w:firstLineChars="0"/>
              <w:rPr>
                <w:rFonts w:hint="default" w:ascii="Arial" w:hAnsi="Arial" w:cs="Arial"/>
                <w:sz w:val="20"/>
                <w:szCs w:val="20"/>
              </w:rPr>
            </w:pPr>
            <w:r>
              <w:rPr>
                <w:rFonts w:hint="default" w:ascii="Arial" w:hAnsi="Arial" w:cs="Arial"/>
                <w:kern w:val="0"/>
                <w:sz w:val="20"/>
                <w:szCs w:val="20"/>
                <w:lang w:val="en-US" w:eastAsia="zh-CN"/>
              </w:rPr>
              <w:t xml:space="preserve">These </w:t>
            </w:r>
            <w:r>
              <w:rPr>
                <w:rFonts w:hint="default" w:ascii="Arial" w:hAnsi="Arial" w:cs="Arial"/>
                <w:sz w:val="20"/>
                <w:szCs w:val="20"/>
              </w:rPr>
              <w:t xml:space="preserve">measurements can be used for multiple aspects related to case 3a, e.g. training data collection, monitoring, or inference procedures. </w:t>
            </w:r>
          </w:p>
          <w:p w14:paraId="7F942105">
            <w:pPr>
              <w:numPr>
                <w:ilvl w:val="0"/>
                <w:numId w:val="11"/>
              </w:numPr>
              <w:spacing w:after="180"/>
              <w:rPr>
                <w:rFonts w:hint="default" w:ascii="Arial" w:hAnsi="Arial" w:eastAsia="宋体" w:cs="Arial"/>
                <w:b w:val="0"/>
                <w:bCs w:val="0"/>
                <w:sz w:val="20"/>
                <w:szCs w:val="20"/>
                <w:vertAlign w:val="baseline"/>
                <w:lang w:val="en-US" w:eastAsia="zh-CN"/>
              </w:rPr>
            </w:pPr>
            <w:r>
              <w:rPr>
                <w:rFonts w:hint="default" w:ascii="Arial" w:hAnsi="Arial" w:eastAsia="Times New Roman" w:cs="Arial"/>
                <w:sz w:val="20"/>
                <w:szCs w:val="20"/>
              </w:rPr>
              <w:t>Note: Purpose, such as the</w:t>
            </w:r>
            <w:r>
              <w:rPr>
                <w:rFonts w:hint="default" w:ascii="Arial" w:hAnsi="Arial" w:eastAsia="等线" w:cs="Arial"/>
                <w:sz w:val="20"/>
                <w:szCs w:val="20"/>
                <w:lang w:eastAsia="zh-CN"/>
              </w:rPr>
              <w:t xml:space="preserve"> training</w:t>
            </w:r>
            <w:r>
              <w:rPr>
                <w:rFonts w:hint="default" w:ascii="Arial" w:hAnsi="Arial" w:eastAsia="Times New Roman" w:cs="Arial"/>
                <w:sz w:val="20"/>
                <w:szCs w:val="20"/>
              </w:rPr>
              <w:t xml:space="preserve"> </w:t>
            </w:r>
            <w:r>
              <w:rPr>
                <w:rFonts w:hint="default" w:ascii="Arial" w:hAnsi="Arial" w:cs="Arial"/>
                <w:sz w:val="20"/>
                <w:szCs w:val="20"/>
              </w:rPr>
              <w:t>data collection</w:t>
            </w:r>
            <w:r>
              <w:rPr>
                <w:rFonts w:hint="default" w:ascii="Arial" w:hAnsi="Arial" w:eastAsia="等线" w:cs="Arial"/>
                <w:sz w:val="20"/>
                <w:szCs w:val="20"/>
                <w:lang w:eastAsia="zh-CN"/>
              </w:rPr>
              <w:t>,</w:t>
            </w:r>
            <w:r>
              <w:rPr>
                <w:rFonts w:hint="default" w:ascii="Arial" w:hAnsi="Arial" w:cs="Arial"/>
                <w:sz w:val="20"/>
                <w:szCs w:val="20"/>
              </w:rPr>
              <w:t xml:space="preserve"> monitoring, or inference procedures</w:t>
            </w:r>
            <w:r>
              <w:rPr>
                <w:rFonts w:hint="default" w:ascii="Arial" w:hAnsi="Arial" w:eastAsia="Times New Roman" w:cs="Arial"/>
                <w:sz w:val="20"/>
                <w:szCs w:val="20"/>
              </w:rPr>
              <w:t xml:space="preserve"> mentioned above, will not necessarily be specified in RAN 1 specifications</w:t>
            </w:r>
          </w:p>
        </w:tc>
      </w:tr>
    </w:tbl>
    <w:p w14:paraId="6A87E7D5">
      <w:pPr>
        <w:numPr>
          <w:ilvl w:val="0"/>
          <w:numId w:val="0"/>
        </w:num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Observation 2: The existing procedure of UL SRS configuration and measurement can be reused for case 3a based on RAN1 agreement.</w:t>
      </w:r>
    </w:p>
    <w:p w14:paraId="3089886E">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val="0"/>
          <w:bCs w:val="0"/>
          <w:sz w:val="20"/>
          <w:szCs w:val="20"/>
          <w:lang w:val="en-US" w:eastAsia="zh-CN"/>
        </w:rPr>
        <w:t>Based on observation 1 and 2, we think there is no additional impacts on Uu interface for case 3a for now. If further agreement is made in RAN1, we can revise it based on the RAN1</w:t>
      </w:r>
      <w:r>
        <w:rPr>
          <w:rFonts w:hint="default" w:ascii="Arial" w:hAnsi="Arial" w:eastAsia="宋体" w:cs="Arial"/>
          <w:b w:val="0"/>
          <w:bCs w:val="0"/>
          <w:sz w:val="20"/>
          <w:szCs w:val="20"/>
          <w:lang w:val="en-US" w:eastAsia="zh-CN"/>
        </w:rPr>
        <w:t>’</w:t>
      </w:r>
      <w:r>
        <w:rPr>
          <w:rFonts w:hint="eastAsia" w:ascii="Arial" w:hAnsi="Arial" w:eastAsia="宋体" w:cs="Arial"/>
          <w:b w:val="0"/>
          <w:bCs w:val="0"/>
          <w:sz w:val="20"/>
          <w:szCs w:val="20"/>
          <w:lang w:val="en-US" w:eastAsia="zh-CN"/>
        </w:rPr>
        <w:t>s progress.</w:t>
      </w:r>
    </w:p>
    <w:p w14:paraId="00214187">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bCs/>
          <w:sz w:val="20"/>
          <w:szCs w:val="20"/>
          <w:lang w:val="en-US" w:eastAsia="zh-CN"/>
        </w:rPr>
        <w:t>Proposal 7: For positioning with gNB-sided model (case 3a), there is no additional impact on Uu interface for now based on RAN1</w:t>
      </w:r>
      <w:r>
        <w:rPr>
          <w:rFonts w:hint="default" w:ascii="Arial" w:hAnsi="Arial" w:eastAsia="宋体" w:cs="Arial"/>
          <w:b/>
          <w:bCs/>
          <w:sz w:val="20"/>
          <w:szCs w:val="20"/>
          <w:lang w:val="en-US" w:eastAsia="zh-CN"/>
        </w:rPr>
        <w:t>’</w:t>
      </w:r>
      <w:r>
        <w:rPr>
          <w:rFonts w:hint="eastAsia" w:ascii="Arial" w:hAnsi="Arial" w:eastAsia="宋体" w:cs="Arial"/>
          <w:b/>
          <w:bCs/>
          <w:sz w:val="20"/>
          <w:szCs w:val="20"/>
          <w:lang w:val="en-US" w:eastAsia="zh-CN"/>
        </w:rPr>
        <w:t>s agreement. And we can revise it if RAN1 has further progress on this case.</w:t>
      </w:r>
    </w:p>
    <w:p w14:paraId="525A14BF">
      <w:pPr>
        <w:numPr>
          <w:ilvl w:val="0"/>
          <w:numId w:val="0"/>
        </w:numPr>
        <w:spacing w:before="120" w:beforeLines="50" w:after="120" w:line="260" w:lineRule="exact"/>
        <w:rPr>
          <w:rFonts w:hint="default" w:ascii="Arial" w:hAnsi="Arial" w:eastAsia="宋体" w:cs="Arial"/>
          <w:b w:val="0"/>
          <w:bCs w:val="0"/>
          <w:sz w:val="20"/>
          <w:szCs w:val="20"/>
          <w:lang w:val="en-US" w:eastAsia="zh-CN"/>
        </w:rPr>
      </w:pPr>
    </w:p>
    <w:p w14:paraId="2A5DC1E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2"/>
        <w:rPr>
          <w:rFonts w:hint="default" w:ascii="Arial" w:hAnsi="Arial" w:cs="Arial"/>
          <w:b w:val="0"/>
          <w:bCs/>
          <w:sz w:val="24"/>
          <w:szCs w:val="24"/>
          <w:lang w:val="en-US" w:eastAsia="zh-CN"/>
        </w:rPr>
      </w:pPr>
      <w:r>
        <w:rPr>
          <w:rFonts w:hint="eastAsia" w:ascii="Arial" w:hAnsi="Arial" w:cs="Arial"/>
          <w:b w:val="0"/>
          <w:bCs/>
          <w:sz w:val="24"/>
          <w:szCs w:val="24"/>
          <w:lang w:val="en-US" w:eastAsia="zh-CN"/>
        </w:rPr>
        <w:t>2.2.2 Positioning with LMF-sided model (case 3b)</w:t>
      </w:r>
    </w:p>
    <w:p w14:paraId="40837DA0">
      <w:pPr>
        <w:numPr>
          <w:ilvl w:val="0"/>
          <w:numId w:val="0"/>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During the R18 study, the entity for LMF-sided model training resides at LMF and the LMF is the termination point for training data. Therefore the LMF-centric data collection should be considered, i.e. LMF configures the UE/gNB to initiate/terminate the data collection procedure.</w:t>
      </w:r>
    </w:p>
    <w:p w14:paraId="22A42A63">
      <w:pPr>
        <w:numPr>
          <w:ilvl w:val="0"/>
          <w:numId w:val="0"/>
        </w:numPr>
        <w:spacing w:before="120" w:beforeLines="50" w:after="120" w:line="240" w:lineRule="auto"/>
        <w:jc w:val="center"/>
      </w:pPr>
      <w:r>
        <w:drawing>
          <wp:inline distT="0" distB="0" distL="114300" distR="114300">
            <wp:extent cx="886460" cy="147574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5"/>
                    <a:srcRect l="81977" t="4619" r="2390" b="14403"/>
                    <a:stretch>
                      <a:fillRect/>
                    </a:stretch>
                  </pic:blipFill>
                  <pic:spPr>
                    <a:xfrm>
                      <a:off x="0" y="0"/>
                      <a:ext cx="886460" cy="1475740"/>
                    </a:xfrm>
                    <a:prstGeom prst="rect">
                      <a:avLst/>
                    </a:prstGeom>
                  </pic:spPr>
                </pic:pic>
              </a:graphicData>
            </a:graphic>
          </wp:inline>
        </w:drawing>
      </w:r>
    </w:p>
    <w:p w14:paraId="101EBE6F">
      <w:pPr>
        <w:numPr>
          <w:ilvl w:val="0"/>
          <w:numId w:val="0"/>
        </w:numPr>
        <w:spacing w:before="120" w:beforeLines="50" w:after="120" w:line="240" w:lineRule="auto"/>
        <w:jc w:val="center"/>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Figure 4. Positioning with LMF-sided model (case 3b)</w:t>
      </w:r>
    </w:p>
    <w:p w14:paraId="63E442BA">
      <w:pPr>
        <w:spacing w:before="120" w:beforeLines="50" w:after="120" w:line="260" w:lineRule="exact"/>
        <w:rPr>
          <w:rFonts w:hint="eastAsia" w:ascii="Arial" w:hAnsi="Arial" w:cs="Arial"/>
          <w:bCs/>
          <w:sz w:val="20"/>
          <w:szCs w:val="20"/>
          <w:lang w:val="en-US" w:eastAsia="zh-CN"/>
        </w:rPr>
      </w:pPr>
      <w:r>
        <w:rPr>
          <w:rFonts w:hint="eastAsia" w:ascii="Arial" w:hAnsi="Arial" w:cs="Arial"/>
          <w:bCs/>
          <w:sz w:val="20"/>
          <w:szCs w:val="20"/>
        </w:rPr>
        <w:t xml:space="preserve">For the content of </w:t>
      </w:r>
      <w:r>
        <w:rPr>
          <w:rFonts w:hint="eastAsia" w:ascii="Arial" w:hAnsi="Arial" w:cs="Arial"/>
          <w:bCs/>
          <w:sz w:val="20"/>
          <w:szCs w:val="20"/>
          <w:lang w:val="en-US" w:eastAsia="zh-CN"/>
        </w:rPr>
        <w:t xml:space="preserve">collected </w:t>
      </w:r>
      <w:r>
        <w:rPr>
          <w:rFonts w:hint="eastAsia" w:ascii="Arial" w:hAnsi="Arial" w:cs="Arial"/>
          <w:bCs/>
          <w:sz w:val="20"/>
          <w:szCs w:val="20"/>
        </w:rPr>
        <w:t>data</w:t>
      </w:r>
      <w:r>
        <w:rPr>
          <w:rFonts w:hint="eastAsia" w:ascii="Arial" w:hAnsi="Arial" w:cs="Arial"/>
          <w:bCs/>
          <w:sz w:val="20"/>
          <w:szCs w:val="20"/>
          <w:lang w:val="en-US" w:eastAsia="zh-CN"/>
        </w:rPr>
        <w:t xml:space="preserve"> for LMF-sided model training</w:t>
      </w:r>
      <w:r>
        <w:rPr>
          <w:rFonts w:hint="eastAsia" w:ascii="Arial" w:hAnsi="Arial" w:cs="Arial"/>
          <w:bCs/>
          <w:sz w:val="20"/>
          <w:szCs w:val="20"/>
        </w:rPr>
        <w:t xml:space="preserve">, </w:t>
      </w:r>
      <w:r>
        <w:rPr>
          <w:rFonts w:hint="eastAsia" w:ascii="Arial" w:hAnsi="Arial" w:cs="Arial"/>
          <w:bCs/>
          <w:sz w:val="20"/>
          <w:szCs w:val="20"/>
          <w:lang w:val="en-US" w:eastAsia="zh-CN"/>
        </w:rPr>
        <w:t xml:space="preserve">at least </w:t>
      </w:r>
      <w:r>
        <w:rPr>
          <w:rFonts w:hint="eastAsia" w:ascii="Arial" w:hAnsi="Arial" w:eastAsia="宋体" w:cs="Arial"/>
          <w:b w:val="0"/>
          <w:bCs w:val="0"/>
          <w:sz w:val="20"/>
          <w:szCs w:val="20"/>
          <w:lang w:val="en-US" w:eastAsia="zh-CN"/>
        </w:rPr>
        <w:t xml:space="preserve">measurements (corresponding to model input, e.g. timing, power, and/or phase info) and location coordinates as model output are needed based on RAN1 reply LS [5]. During the R19 discussion, </w:t>
      </w:r>
      <w:r>
        <w:rPr>
          <w:rFonts w:hint="eastAsia" w:ascii="Arial" w:hAnsi="Arial" w:cs="Arial"/>
          <w:bCs/>
          <w:sz w:val="20"/>
          <w:szCs w:val="20"/>
          <w:lang w:val="en-US" w:eastAsia="zh-CN"/>
        </w:rPr>
        <w:t xml:space="preserve">RAN1 has achieved the following agreements on the collected data for LMF-sided model.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7C53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14:paraId="669051DA">
            <w:pPr>
              <w:rPr>
                <w:rFonts w:hint="default" w:ascii="Arial" w:hAnsi="Arial" w:eastAsia="等线" w:cs="Arial"/>
                <w:sz w:val="20"/>
                <w:szCs w:val="20"/>
                <w:highlight w:val="darkYellow"/>
                <w:lang w:eastAsia="zh-CN"/>
              </w:rPr>
            </w:pPr>
            <w:r>
              <w:rPr>
                <w:rFonts w:hint="default" w:ascii="Arial" w:hAnsi="Arial" w:eastAsia="等线" w:cs="Arial"/>
                <w:sz w:val="20"/>
                <w:szCs w:val="20"/>
                <w:highlight w:val="darkYellow"/>
                <w:lang w:val="en-US" w:eastAsia="zh-CN"/>
              </w:rPr>
              <w:t xml:space="preserve">RAN1#116bis </w:t>
            </w:r>
            <w:r>
              <w:rPr>
                <w:rFonts w:hint="default" w:ascii="Arial" w:hAnsi="Arial" w:eastAsia="等线" w:cs="Arial"/>
                <w:sz w:val="20"/>
                <w:szCs w:val="20"/>
                <w:highlight w:val="darkYellow"/>
                <w:lang w:eastAsia="zh-CN"/>
              </w:rPr>
              <w:t>Working Assumption</w:t>
            </w:r>
          </w:p>
          <w:p w14:paraId="65C71078">
            <w:pPr>
              <w:rPr>
                <w:rFonts w:hint="default" w:ascii="Arial" w:hAnsi="Arial" w:cs="Arial"/>
                <w:sz w:val="20"/>
                <w:szCs w:val="20"/>
              </w:rPr>
            </w:pPr>
            <w:r>
              <w:rPr>
                <w:rFonts w:hint="default" w:ascii="Arial" w:hAnsi="Arial" w:cs="Arial"/>
                <w:sz w:val="20"/>
                <w:szCs w:val="20"/>
              </w:rPr>
              <w:t>For training data generation of AI/ML based positioning Case 3b, the label and its related data (e.g., time stamp) can be generated by:</w:t>
            </w:r>
          </w:p>
          <w:p w14:paraId="7BA5F7BF">
            <w:pPr>
              <w:pStyle w:val="24"/>
              <w:widowControl w:val="0"/>
              <w:numPr>
                <w:ilvl w:val="0"/>
                <w:numId w:val="8"/>
              </w:numPr>
              <w:ind w:leftChars="0"/>
              <w:jc w:val="both"/>
              <w:rPr>
                <w:rFonts w:hint="default" w:ascii="Arial" w:hAnsi="Arial" w:cs="Arial"/>
                <w:sz w:val="20"/>
                <w:szCs w:val="20"/>
              </w:rPr>
            </w:pPr>
            <w:r>
              <w:rPr>
                <w:rFonts w:hint="default" w:ascii="Arial" w:hAnsi="Arial" w:cs="Arial"/>
                <w:sz w:val="20"/>
                <w:szCs w:val="20"/>
                <w:lang w:val="en-US"/>
              </w:rPr>
              <w:t>PRU</w:t>
            </w:r>
          </w:p>
          <w:p w14:paraId="47D1D37B">
            <w:pPr>
              <w:pStyle w:val="24"/>
              <w:widowControl w:val="0"/>
              <w:numPr>
                <w:ilvl w:val="0"/>
                <w:numId w:val="8"/>
              </w:numPr>
              <w:ind w:leftChars="0"/>
              <w:jc w:val="both"/>
              <w:rPr>
                <w:rFonts w:hint="default" w:ascii="Arial" w:hAnsi="Arial" w:cs="Arial"/>
                <w:sz w:val="20"/>
                <w:szCs w:val="20"/>
                <w:lang w:val="en-US"/>
              </w:rPr>
            </w:pPr>
            <w:r>
              <w:rPr>
                <w:rFonts w:hint="default" w:ascii="Arial" w:hAnsi="Arial" w:eastAsia="等线" w:cs="Arial"/>
                <w:sz w:val="20"/>
                <w:szCs w:val="20"/>
                <w:lang w:val="en-US" w:eastAsia="zh-CN"/>
              </w:rPr>
              <w:t xml:space="preserve">FFS: </w:t>
            </w:r>
            <w:r>
              <w:rPr>
                <w:rFonts w:hint="default" w:ascii="Arial" w:hAnsi="Arial" w:cs="Arial"/>
                <w:sz w:val="20"/>
                <w:szCs w:val="20"/>
                <w:lang w:val="en-US"/>
              </w:rPr>
              <w:t>Non-PRU UE with estimated location</w:t>
            </w:r>
          </w:p>
          <w:p w14:paraId="1D4EC846">
            <w:pPr>
              <w:pStyle w:val="24"/>
              <w:widowControl w:val="0"/>
              <w:numPr>
                <w:ilvl w:val="0"/>
                <w:numId w:val="8"/>
              </w:numPr>
              <w:ind w:leftChars="0"/>
              <w:jc w:val="both"/>
              <w:rPr>
                <w:rFonts w:hint="default" w:ascii="Arial" w:hAnsi="Arial" w:cs="Arial"/>
                <w:sz w:val="20"/>
                <w:szCs w:val="20"/>
              </w:rPr>
            </w:pPr>
            <w:r>
              <w:rPr>
                <w:rFonts w:hint="default" w:ascii="Arial" w:hAnsi="Arial" w:cs="Arial"/>
                <w:sz w:val="20"/>
                <w:szCs w:val="20"/>
                <w:lang w:val="en-US"/>
              </w:rPr>
              <w:t>LMF</w:t>
            </w:r>
          </w:p>
          <w:p w14:paraId="4BB780E8">
            <w:pPr>
              <w:rPr>
                <w:rFonts w:hint="default" w:ascii="Arial" w:hAnsi="Arial" w:cs="Arial"/>
                <w:sz w:val="20"/>
                <w:szCs w:val="20"/>
              </w:rPr>
            </w:pPr>
            <w:r>
              <w:rPr>
                <w:rFonts w:hint="default" w:ascii="Arial" w:hAnsi="Arial" w:cs="Arial"/>
                <w:sz w:val="20"/>
                <w:szCs w:val="20"/>
              </w:rPr>
              <w:t>Note: transfer of label and its related data is out of RAN1 scope.</w:t>
            </w:r>
          </w:p>
          <w:p w14:paraId="56CFB5E5">
            <w:pPr>
              <w:rPr>
                <w:rFonts w:hint="default" w:ascii="Arial" w:hAnsi="Arial" w:eastAsia="等线" w:cs="Arial"/>
                <w:b w:val="0"/>
                <w:bCs w:val="0"/>
                <w:sz w:val="20"/>
                <w:szCs w:val="21"/>
                <w:highlight w:val="green"/>
                <w:lang w:eastAsia="zh-CN"/>
              </w:rPr>
            </w:pPr>
            <w:r>
              <w:rPr>
                <w:rFonts w:hint="eastAsia" w:ascii="Arial" w:hAnsi="Arial" w:eastAsia="等线" w:cs="Arial"/>
                <w:b w:val="0"/>
                <w:bCs w:val="0"/>
                <w:sz w:val="20"/>
                <w:szCs w:val="21"/>
                <w:highlight w:val="green"/>
                <w:lang w:val="en-US" w:eastAsia="zh-CN"/>
              </w:rPr>
              <w:t xml:space="preserve">RAN1#118 </w:t>
            </w:r>
            <w:r>
              <w:rPr>
                <w:rFonts w:hint="eastAsia" w:ascii="Arial" w:hAnsi="Arial" w:eastAsia="等线" w:cs="Arial"/>
                <w:b w:val="0"/>
                <w:bCs w:val="0"/>
                <w:sz w:val="20"/>
                <w:szCs w:val="21"/>
                <w:highlight w:val="green"/>
                <w:lang w:eastAsia="zh-CN"/>
              </w:rPr>
              <w:t>Agreement</w:t>
            </w:r>
          </w:p>
          <w:p w14:paraId="79820175">
            <w:pPr>
              <w:ind w:left="0" w:firstLine="0"/>
              <w:rPr>
                <w:rFonts w:hint="default" w:ascii="Arial" w:hAnsi="Arial" w:cs="Arial"/>
                <w:sz w:val="20"/>
                <w:szCs w:val="20"/>
              </w:rPr>
            </w:pPr>
            <w:r>
              <w:rPr>
                <w:rFonts w:hint="default" w:ascii="Arial" w:hAnsi="Arial" w:cs="Arial"/>
                <w:sz w:val="20"/>
                <w:szCs w:val="20"/>
              </w:rPr>
              <w:t>For training data collection of AI/ML based positioning</w:t>
            </w:r>
            <w:r>
              <w:rPr>
                <w:rFonts w:hint="default" w:ascii="Arial" w:hAnsi="Arial" w:eastAsia="等线" w:cs="Arial"/>
                <w:sz w:val="20"/>
                <w:szCs w:val="20"/>
                <w:lang w:eastAsia="zh-CN"/>
              </w:rPr>
              <w:t xml:space="preserve"> case 3b</w:t>
            </w:r>
            <w:r>
              <w:rPr>
                <w:rFonts w:hint="default" w:ascii="Arial" w:hAnsi="Arial" w:cs="Arial"/>
                <w:sz w:val="20"/>
                <w:szCs w:val="20"/>
              </w:rPr>
              <w:t xml:space="preserve">, for time stamp of channel measurement, </w:t>
            </w:r>
          </w:p>
          <w:p w14:paraId="0B7EDB98">
            <w:pPr>
              <w:pStyle w:val="24"/>
              <w:numPr>
                <w:ilvl w:val="0"/>
                <w:numId w:val="10"/>
              </w:numPr>
              <w:suppressAutoHyphens/>
              <w:spacing w:after="80" w:line="276" w:lineRule="auto"/>
              <w:ind w:left="840" w:leftChars="0" w:firstLine="0" w:firstLineChars="0"/>
              <w:rPr>
                <w:rFonts w:hint="default" w:ascii="Arial" w:hAnsi="Arial" w:cs="Arial"/>
                <w:sz w:val="20"/>
                <w:szCs w:val="20"/>
                <w:lang w:val="en-US"/>
              </w:rPr>
            </w:pPr>
            <w:r>
              <w:rPr>
                <w:rFonts w:hint="default" w:ascii="Arial" w:hAnsi="Arial" w:cs="Arial"/>
                <w:sz w:val="20"/>
                <w:szCs w:val="20"/>
                <w:lang w:val="en-US"/>
              </w:rPr>
              <w:t xml:space="preserve">For channel </w:t>
            </w:r>
            <w:r>
              <w:rPr>
                <w:rFonts w:hint="default" w:ascii="Arial" w:hAnsi="Arial" w:cs="Arial"/>
                <w:kern w:val="0"/>
                <w:sz w:val="20"/>
                <w:szCs w:val="20"/>
                <w:lang w:val="en-US" w:eastAsia="zh-CN"/>
              </w:rPr>
              <w:t xml:space="preserve">measurement </w:t>
            </w:r>
            <w:r>
              <w:rPr>
                <w:rFonts w:hint="default" w:ascii="Arial" w:hAnsi="Arial" w:cs="Arial"/>
                <w:sz w:val="20"/>
                <w:szCs w:val="20"/>
                <w:lang w:val="en-US"/>
              </w:rPr>
              <w:t>generated by TRP/gNB, existing IE “Time Stamp” in TS 38.455</w:t>
            </w:r>
            <w:r>
              <w:rPr>
                <w:rFonts w:hint="default" w:ascii="Arial" w:hAnsi="Arial" w:eastAsia="等线" w:cs="Arial"/>
                <w:sz w:val="20"/>
                <w:szCs w:val="20"/>
                <w:lang w:val="en-US" w:eastAsia="zh-CN"/>
              </w:rPr>
              <w:t xml:space="preserve"> can be reused from RAN1 perspective</w:t>
            </w:r>
          </w:p>
          <w:p w14:paraId="209D370A">
            <w:pPr>
              <w:pStyle w:val="24"/>
              <w:numPr>
                <w:ilvl w:val="0"/>
                <w:numId w:val="10"/>
              </w:numPr>
              <w:suppressAutoHyphens/>
              <w:spacing w:after="80" w:line="276" w:lineRule="auto"/>
              <w:ind w:left="840" w:leftChars="0" w:firstLine="0" w:firstLineChars="0"/>
              <w:rPr>
                <w:rFonts w:hint="eastAsia" w:ascii="Arial" w:hAnsi="Arial" w:cs="Arial" w:eastAsiaTheme="minorEastAsia"/>
                <w:sz w:val="20"/>
                <w:szCs w:val="20"/>
                <w:lang w:val="en-US" w:eastAsia="zh-CN"/>
              </w:rPr>
            </w:pPr>
            <w:r>
              <w:rPr>
                <w:rFonts w:hint="default" w:ascii="Arial" w:hAnsi="Arial" w:cs="Arial"/>
                <w:sz w:val="20"/>
                <w:szCs w:val="20"/>
                <w:lang w:eastAsia="zh-CN"/>
              </w:rPr>
              <w:t xml:space="preserve">Note: </w:t>
            </w:r>
            <w:r>
              <w:rPr>
                <w:rFonts w:hint="default" w:ascii="Arial" w:hAnsi="Arial" w:cs="Arial"/>
                <w:kern w:val="0"/>
                <w:sz w:val="20"/>
                <w:szCs w:val="20"/>
                <w:lang w:val="en-US" w:eastAsia="zh-CN"/>
              </w:rPr>
              <w:t>Purpose</w:t>
            </w:r>
            <w:r>
              <w:rPr>
                <w:rFonts w:hint="default" w:ascii="Arial" w:hAnsi="Arial" w:cs="Arial"/>
                <w:sz w:val="20"/>
                <w:szCs w:val="20"/>
                <w:lang w:eastAsia="zh-CN"/>
              </w:rPr>
              <w:t xml:space="preserve">, such as above </w:t>
            </w:r>
            <w:r>
              <w:rPr>
                <w:rFonts w:hint="default" w:ascii="Arial" w:hAnsi="Arial" w:eastAsia="等线" w:cs="Arial"/>
                <w:sz w:val="20"/>
                <w:szCs w:val="20"/>
                <w:lang w:val="en-US" w:eastAsia="zh-CN"/>
              </w:rPr>
              <w:t>“</w:t>
            </w:r>
            <w:r>
              <w:rPr>
                <w:rFonts w:hint="default" w:ascii="Arial" w:hAnsi="Arial" w:cs="Arial"/>
                <w:sz w:val="20"/>
                <w:szCs w:val="20"/>
              </w:rPr>
              <w:t>training data collection</w:t>
            </w:r>
            <w:r>
              <w:rPr>
                <w:rFonts w:hint="default" w:ascii="Arial" w:hAnsi="Arial" w:eastAsia="等线" w:cs="Arial"/>
                <w:sz w:val="20"/>
                <w:szCs w:val="20"/>
                <w:lang w:eastAsia="zh-CN"/>
              </w:rPr>
              <w:t>"</w:t>
            </w:r>
            <w:r>
              <w:rPr>
                <w:rFonts w:hint="default" w:ascii="Arial" w:hAnsi="Arial" w:cs="Arial"/>
                <w:sz w:val="20"/>
                <w:szCs w:val="20"/>
                <w:lang w:eastAsia="zh-CN"/>
              </w:rPr>
              <w:t xml:space="preserve">, will not </w:t>
            </w:r>
            <w:r>
              <w:rPr>
                <w:rFonts w:hint="default" w:ascii="Arial" w:hAnsi="Arial" w:eastAsia="等线" w:cs="Arial"/>
                <w:sz w:val="20"/>
                <w:szCs w:val="20"/>
                <w:lang w:eastAsia="zh-CN"/>
              </w:rPr>
              <w:t xml:space="preserve">necessarily </w:t>
            </w:r>
            <w:r>
              <w:rPr>
                <w:rFonts w:hint="default" w:ascii="Arial" w:hAnsi="Arial" w:cs="Arial"/>
                <w:sz w:val="20"/>
                <w:szCs w:val="20"/>
                <w:lang w:eastAsia="zh-CN"/>
              </w:rPr>
              <w:t>be specified in RAN 1 specifications</w:t>
            </w:r>
          </w:p>
        </w:tc>
      </w:tr>
    </w:tbl>
    <w:p w14:paraId="31EDC0E5">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 xml:space="preserve">For training data generation of case 3b, the label </w:t>
      </w:r>
      <w:r>
        <w:rPr>
          <w:rFonts w:hint="default" w:ascii="Arial" w:hAnsi="Arial" w:cs="Arial"/>
          <w:sz w:val="20"/>
          <w:szCs w:val="20"/>
        </w:rPr>
        <w:t>and its related data</w:t>
      </w:r>
      <w:r>
        <w:rPr>
          <w:rFonts w:hint="eastAsia" w:ascii="Arial" w:hAnsi="Arial" w:cs="Arial"/>
          <w:sz w:val="20"/>
          <w:szCs w:val="20"/>
          <w:lang w:val="en-US" w:eastAsia="zh-CN"/>
        </w:rPr>
        <w:t xml:space="preserve"> </w:t>
      </w:r>
      <w:r>
        <w:rPr>
          <w:rFonts w:hint="eastAsia" w:ascii="Arial" w:hAnsi="Arial" w:eastAsia="宋体" w:cs="Arial"/>
          <w:b w:val="0"/>
          <w:bCs w:val="0"/>
          <w:sz w:val="20"/>
          <w:szCs w:val="20"/>
          <w:lang w:val="en-US" w:eastAsia="zh-CN"/>
        </w:rPr>
        <w:t>can be generated by PRU or LMF or TRP/gNB. If the training data is generated by gNB and terminated at LMF, NRPPa will be used and should be discussed in RAN3. If the training data is generated by PRU or non-PRU UE and terminated at LMF, LPP will be used and in RAN2 scope. Therefore, RAN2 should focus on the latter case.</w:t>
      </w:r>
    </w:p>
    <w:p w14:paraId="70123B64">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 xml:space="preserve">Proposal 8: For positioning with LMF-side model (case 3b), RAN2 focus on the case where the training data is generated by PRU or non-PRU UE and terminated at LMF. </w:t>
      </w:r>
    </w:p>
    <w:p w14:paraId="32905114">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eastAsia" w:ascii="Arial" w:hAnsi="Arial" w:cs="Arial"/>
          <w:b/>
          <w:bCs w:val="0"/>
          <w:sz w:val="28"/>
          <w:szCs w:val="28"/>
          <w:lang w:val="en-US" w:eastAsia="zh-CN"/>
        </w:rPr>
      </w:pPr>
    </w:p>
    <w:p w14:paraId="04B6D025">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75665F39">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NW side data collection</w:t>
      </w:r>
      <w:r>
        <w:rPr>
          <w:rFonts w:ascii="Arial" w:hAnsi="Arial" w:eastAsia="宋体" w:cs="Arial"/>
          <w:kern w:val="0"/>
          <w:sz w:val="20"/>
          <w:szCs w:val="20"/>
          <w:lang w:val="en-GB" w:eastAsia="en-US"/>
        </w:rPr>
        <w:t>.</w:t>
      </w:r>
    </w:p>
    <w:p w14:paraId="0392F64A">
      <w:pPr>
        <w:spacing w:after="120" w:afterLines="50"/>
        <w:rPr>
          <w:rFonts w:hint="eastAsia" w:ascii="Arial" w:hAnsi="Arial" w:cs="Arial"/>
          <w:b/>
          <w:i/>
          <w:iCs/>
          <w:sz w:val="20"/>
          <w:szCs w:val="20"/>
          <w:u w:val="single"/>
        </w:rPr>
      </w:pPr>
      <w:r>
        <w:rPr>
          <w:rFonts w:hint="eastAsia" w:ascii="Arial" w:hAnsi="Arial" w:cs="Arial"/>
          <w:b/>
          <w:i/>
          <w:iCs/>
          <w:sz w:val="20"/>
          <w:szCs w:val="20"/>
          <w:u w:val="single"/>
        </w:rPr>
        <w:t>Beam management</w:t>
      </w:r>
    </w:p>
    <w:p w14:paraId="1D440AA2">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1: The reason for triggering of indication for the status (e.g. low power state, low memory) is signaled as </w:t>
      </w:r>
      <w:r>
        <w:rPr>
          <w:rFonts w:hint="eastAsia" w:ascii="Arial" w:hAnsi="Arial" w:cs="Arial"/>
          <w:b/>
          <w:bCs w:val="0"/>
          <w:sz w:val="20"/>
          <w:szCs w:val="20"/>
          <w:lang w:val="en-US" w:eastAsia="zh-CN"/>
        </w:rPr>
        <w:t>part of availability indication</w:t>
      </w:r>
      <w:r>
        <w:rPr>
          <w:rFonts w:hint="eastAsia" w:ascii="Arial" w:hAnsi="Arial" w:cs="Arial"/>
          <w:b/>
          <w:bCs/>
          <w:sz w:val="20"/>
          <w:szCs w:val="20"/>
          <w:lang w:val="en-US" w:eastAsia="zh-CN"/>
        </w:rPr>
        <w:t>.</w:t>
      </w:r>
    </w:p>
    <w:p w14:paraId="537F0203">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Proposal 2: It can be reported to the network after buffer is full.</w:t>
      </w:r>
    </w:p>
    <w:p w14:paraId="566E1089">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3: </w:t>
      </w:r>
      <w:r>
        <w:rPr>
          <w:rFonts w:hint="eastAsia" w:ascii="Arial" w:hAnsi="Arial" w:eastAsia="宋体" w:cs="Arial"/>
          <w:b/>
          <w:bCs w:val="0"/>
          <w:sz w:val="20"/>
          <w:szCs w:val="21"/>
          <w:lang w:val="en-US" w:eastAsia="zh-CN"/>
        </w:rPr>
        <w:t xml:space="preserve">The availability indication can be sent to the network via </w:t>
      </w:r>
      <w:r>
        <w:rPr>
          <w:rFonts w:hint="eastAsia" w:ascii="Arial" w:hAnsi="Arial" w:eastAsia="宋体" w:cs="Arial"/>
          <w:b/>
          <w:bCs w:val="0"/>
          <w:i/>
          <w:iCs/>
          <w:sz w:val="20"/>
          <w:szCs w:val="21"/>
          <w:lang w:val="en-US" w:eastAsia="zh-CN"/>
        </w:rPr>
        <w:t xml:space="preserve">UEAssistanceInformation </w:t>
      </w:r>
      <w:r>
        <w:rPr>
          <w:rFonts w:hint="eastAsia" w:ascii="Arial" w:hAnsi="Arial" w:eastAsia="宋体" w:cs="Arial"/>
          <w:b/>
          <w:bCs w:val="0"/>
          <w:sz w:val="20"/>
          <w:szCs w:val="21"/>
          <w:lang w:val="en-US" w:eastAsia="zh-CN"/>
        </w:rPr>
        <w:t>massage</w:t>
      </w:r>
      <w:r>
        <w:rPr>
          <w:rFonts w:hint="eastAsia" w:ascii="Arial" w:hAnsi="Arial" w:cs="Arial"/>
          <w:b/>
          <w:bCs/>
          <w:sz w:val="20"/>
          <w:szCs w:val="20"/>
          <w:lang w:val="en-US" w:eastAsia="zh-CN"/>
        </w:rPr>
        <w:t>.</w:t>
      </w:r>
    </w:p>
    <w:p w14:paraId="302DA822">
      <w:pPr>
        <w:numPr>
          <w:ilvl w:val="0"/>
          <w:numId w:val="0"/>
        </w:numPr>
        <w:spacing w:before="120" w:beforeLines="50" w:after="120" w:line="260" w:lineRule="exact"/>
        <w:rPr>
          <w:rFonts w:hint="default" w:ascii="Arial" w:hAnsi="Arial" w:eastAsia="宋体" w:cs="Arial"/>
          <w:b/>
          <w:bCs w:val="0"/>
          <w:sz w:val="20"/>
          <w:szCs w:val="21"/>
          <w:lang w:val="en-US" w:eastAsia="zh-CN"/>
        </w:rPr>
      </w:pPr>
      <w:r>
        <w:rPr>
          <w:rFonts w:hint="eastAsia" w:ascii="Arial" w:hAnsi="Arial" w:eastAsia="宋体" w:cs="Arial"/>
          <w:b/>
          <w:bCs w:val="0"/>
          <w:sz w:val="20"/>
          <w:szCs w:val="21"/>
          <w:lang w:val="en-US" w:eastAsia="zh-CN"/>
        </w:rPr>
        <w:t xml:space="preserve">Proposal 4: </w:t>
      </w:r>
      <w:r>
        <w:rPr>
          <w:rFonts w:hint="eastAsia" w:ascii="Arial" w:hAnsi="Arial" w:eastAsia="宋体" w:cs="Arial"/>
          <w:b/>
          <w:bCs/>
          <w:kern w:val="0"/>
          <w:sz w:val="20"/>
          <w:szCs w:val="20"/>
          <w:lang w:val="en-US" w:eastAsia="zh-CN"/>
        </w:rPr>
        <w:t>The data content is common for UE-sided model and NW-sided model training, but different for inference and monitoring. More details can be further discussed based on RAN1 progress</w:t>
      </w:r>
      <w:r>
        <w:rPr>
          <w:rFonts w:hint="eastAsia" w:ascii="Arial" w:hAnsi="Arial" w:eastAsia="宋体" w:cs="Arial"/>
          <w:b/>
          <w:bCs w:val="0"/>
          <w:sz w:val="20"/>
          <w:szCs w:val="21"/>
          <w:lang w:val="en-US" w:eastAsia="zh-CN"/>
        </w:rPr>
        <w:t>.</w:t>
      </w:r>
    </w:p>
    <w:p w14:paraId="0D85327F">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Proposal 5: The minimum AS layer memory size for training data logging is at least 64KB.</w:t>
      </w:r>
    </w:p>
    <w:p w14:paraId="36D19067">
      <w:pPr>
        <w:numPr>
          <w:ilvl w:val="0"/>
          <w:numId w:val="0"/>
        </w:numPr>
        <w:spacing w:before="120" w:beforeLines="50" w:after="120" w:line="260" w:lineRule="exact"/>
        <w:rPr>
          <w:rFonts w:hint="default" w:ascii="Arial" w:hAnsi="Arial" w:cs="Arial"/>
          <w:b/>
          <w:bCs/>
          <w:i w:val="0"/>
          <w:iCs w:val="0"/>
          <w:sz w:val="20"/>
          <w:szCs w:val="20"/>
          <w:lang w:val="en-US" w:eastAsia="zh-CN"/>
        </w:rPr>
      </w:pPr>
      <w:r>
        <w:rPr>
          <w:rFonts w:hint="eastAsia" w:ascii="Arial" w:hAnsi="Arial" w:cs="Arial"/>
          <w:b/>
          <w:bCs/>
          <w:i w:val="0"/>
          <w:iCs w:val="0"/>
          <w:sz w:val="20"/>
          <w:szCs w:val="20"/>
          <w:lang w:val="en-US" w:eastAsia="zh-CN"/>
        </w:rPr>
        <w:t>Proposal 6: The absolute time stamp is used to indicate the time of report, and relative time stamp is used to indicate the time of logged measurement results, similar as logged MDT.</w:t>
      </w:r>
    </w:p>
    <w:p w14:paraId="0653D373">
      <w:pPr>
        <w:spacing w:after="120" w:afterLines="50"/>
        <w:rPr>
          <w:rFonts w:hint="eastAsia" w:ascii="Arial" w:hAnsi="Arial" w:cs="Arial"/>
          <w:b/>
          <w:i/>
          <w:iCs/>
          <w:sz w:val="20"/>
          <w:szCs w:val="20"/>
          <w:u w:val="single"/>
        </w:rPr>
      </w:pPr>
    </w:p>
    <w:p w14:paraId="7BEB98B3">
      <w:pPr>
        <w:spacing w:after="120" w:afterLines="50"/>
        <w:rPr>
          <w:rFonts w:hint="default" w:ascii="Arial" w:hAnsi="Arial" w:cs="Arial" w:eastAsiaTheme="minorEastAsia"/>
          <w:b/>
          <w:i/>
          <w:iCs/>
          <w:sz w:val="20"/>
          <w:szCs w:val="20"/>
          <w:u w:val="single"/>
          <w:lang w:val="en-US" w:eastAsia="zh-CN"/>
        </w:rPr>
      </w:pPr>
      <w:r>
        <w:rPr>
          <w:rFonts w:hint="eastAsia" w:ascii="Arial" w:hAnsi="Arial" w:cs="Arial"/>
          <w:b/>
          <w:i/>
          <w:iCs/>
          <w:sz w:val="20"/>
          <w:szCs w:val="20"/>
          <w:u w:val="single"/>
          <w:lang w:val="en-US" w:eastAsia="zh-CN"/>
        </w:rPr>
        <w:t>Positioning</w:t>
      </w:r>
    </w:p>
    <w:p w14:paraId="6333A9FA">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Observation 1: For case 3a, the label and its related data for training can be generated by LMF then sent to gNB based on RAN1 agreement, which has no impact on LPP.</w:t>
      </w:r>
    </w:p>
    <w:p w14:paraId="577D361C">
      <w:pPr>
        <w:numPr>
          <w:ilvl w:val="0"/>
          <w:numId w:val="0"/>
        </w:num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Observation 2: The existing procedure of UL SRS configuration and measurement can be reused for case 3a based on RAN1 agreement.</w:t>
      </w:r>
    </w:p>
    <w:p w14:paraId="2C84EB29">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bCs/>
          <w:sz w:val="20"/>
          <w:szCs w:val="20"/>
          <w:lang w:val="en-US" w:eastAsia="zh-CN"/>
        </w:rPr>
        <w:t>Proposal 7: For positioning with gNB-sided model (case 3a), there is no additional impact on Uu interface for now based on RAN1</w:t>
      </w:r>
      <w:r>
        <w:rPr>
          <w:rFonts w:hint="default" w:ascii="Arial" w:hAnsi="Arial" w:eastAsia="宋体" w:cs="Arial"/>
          <w:b/>
          <w:bCs/>
          <w:sz w:val="20"/>
          <w:szCs w:val="20"/>
          <w:lang w:val="en-US" w:eastAsia="zh-CN"/>
        </w:rPr>
        <w:t>’</w:t>
      </w:r>
      <w:r>
        <w:rPr>
          <w:rFonts w:hint="eastAsia" w:ascii="Arial" w:hAnsi="Arial" w:eastAsia="宋体" w:cs="Arial"/>
          <w:b/>
          <w:bCs/>
          <w:sz w:val="20"/>
          <w:szCs w:val="20"/>
          <w:lang w:val="en-US" w:eastAsia="zh-CN"/>
        </w:rPr>
        <w:t>s agreement. And we can revise it if RAN1 has further progress on this case.</w:t>
      </w:r>
    </w:p>
    <w:p w14:paraId="5820F911">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 xml:space="preserve">Proposal 8: For positioning with LMF-side model (case 3b), RAN2 focus on the case where the training data is generated by PRU or non-PRU UE and terminated at LMF. </w:t>
      </w:r>
    </w:p>
    <w:p w14:paraId="2800198B">
      <w:pPr>
        <w:spacing w:before="120" w:beforeLines="50" w:after="120" w:line="260" w:lineRule="exact"/>
        <w:rPr>
          <w:rFonts w:hint="eastAsia" w:ascii="Arial" w:hAnsi="Arial" w:eastAsia="宋体" w:cs="Arial"/>
          <w:b/>
          <w:bCs/>
          <w:sz w:val="20"/>
          <w:szCs w:val="20"/>
          <w:lang w:val="en-US" w:eastAsia="zh-CN"/>
        </w:rPr>
      </w:pPr>
    </w:p>
    <w:p w14:paraId="3C7A7E84">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89051A9">
      <w:pPr>
        <w:widowControl/>
        <w:numPr>
          <w:ilvl w:val="0"/>
          <w:numId w:val="12"/>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8</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1</w:t>
      </w:r>
    </w:p>
    <w:p w14:paraId="61D5A95F">
      <w:pPr>
        <w:widowControl/>
        <w:numPr>
          <w:ilvl w:val="0"/>
          <w:numId w:val="12"/>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 xml:space="preserve">TS 38.331 </w:t>
      </w:r>
      <w:r>
        <w:rPr>
          <w:rFonts w:hint="eastAsia" w:ascii="Arial" w:hAnsi="Arial" w:eastAsia="宋体" w:cs="Arial"/>
          <w:kern w:val="0"/>
          <w:sz w:val="20"/>
          <w:szCs w:val="20"/>
        </w:rPr>
        <w:t>NR; Radio Resource Control (RRC) protocol specification</w:t>
      </w:r>
    </w:p>
    <w:p w14:paraId="4F98AEA6">
      <w:pPr>
        <w:widowControl/>
        <w:numPr>
          <w:ilvl w:val="0"/>
          <w:numId w:val="12"/>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R1-2310681 Reply LS on Data Collection Requirements and Assumptions</w:t>
      </w:r>
    </w:p>
    <w:p w14:paraId="6013005C">
      <w:pPr>
        <w:widowControl/>
        <w:numPr>
          <w:ilvl w:val="0"/>
          <w:numId w:val="12"/>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TS 38.306 NR; User Equipment (UE) radio access capabilities</w:t>
      </w:r>
    </w:p>
    <w:p w14:paraId="367E5DD7">
      <w:pPr>
        <w:widowControl/>
        <w:numPr>
          <w:ilvl w:val="0"/>
          <w:numId w:val="12"/>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GB" w:eastAsia="en-US"/>
        </w:rPr>
        <w:t>R2-2311720</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Reply LS on Data Collection Requirements and Assumptions </w:t>
      </w:r>
      <w:r>
        <w:rPr>
          <w:rFonts w:hint="eastAsia" w:ascii="Arial" w:hAnsi="Arial" w:eastAsia="宋体" w:cs="Arial"/>
          <w:kern w:val="0"/>
          <w:sz w:val="20"/>
          <w:szCs w:val="20"/>
        </w:rPr>
        <w:t>(R1-2310681)</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12D3086"/>
    <w:multiLevelType w:val="multilevel"/>
    <w:tmpl w:val="112D308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D9620C1"/>
    <w:multiLevelType w:val="multilevel"/>
    <w:tmpl w:val="2D9620C1"/>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39687885"/>
    <w:multiLevelType w:val="multilevel"/>
    <w:tmpl w:val="396878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50BED944"/>
    <w:multiLevelType w:val="singleLevel"/>
    <w:tmpl w:val="50BED944"/>
    <w:lvl w:ilvl="0" w:tentative="0">
      <w:start w:val="1"/>
      <w:numFmt w:val="decimal"/>
      <w:lvlText w:val="%1"/>
      <w:lvlJc w:val="left"/>
    </w:lvl>
  </w:abstractNum>
  <w:abstractNum w:abstractNumId="8">
    <w:nsid w:val="54076572"/>
    <w:multiLevelType w:val="multilevel"/>
    <w:tmpl w:val="54076572"/>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6D2A431D"/>
    <w:multiLevelType w:val="multilevel"/>
    <w:tmpl w:val="6D2A431D"/>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0">
    <w:nsid w:val="70146DC0"/>
    <w:multiLevelType w:val="multilevel"/>
    <w:tmpl w:val="70146DC0"/>
    <w:lvl w:ilvl="0" w:tentative="0">
      <w:start w:val="1"/>
      <w:numFmt w:val="bullet"/>
      <w:pStyle w:val="3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18D7D2E"/>
    <w:multiLevelType w:val="multilevel"/>
    <w:tmpl w:val="718D7D2E"/>
    <w:lvl w:ilvl="0" w:tentative="0">
      <w:start w:val="1"/>
      <w:numFmt w:val="decimal"/>
      <w:pStyle w:val="31"/>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6"/>
  </w:num>
  <w:num w:numId="2">
    <w:abstractNumId w:val="0"/>
  </w:num>
  <w:num w:numId="3">
    <w:abstractNumId w:val="11"/>
  </w:num>
  <w:num w:numId="4">
    <w:abstractNumId w:val="10"/>
  </w:num>
  <w:num w:numId="5">
    <w:abstractNumId w:val="7"/>
  </w:num>
  <w:num w:numId="6">
    <w:abstractNumId w:val="8"/>
  </w:num>
  <w:num w:numId="7">
    <w:abstractNumId w:val="3"/>
  </w:num>
  <w:num w:numId="8">
    <w:abstractNumId w:val="1"/>
  </w:num>
  <w:num w:numId="9">
    <w:abstractNumId w:val="5"/>
  </w:num>
  <w:num w:numId="10">
    <w:abstractNumId w:val="9"/>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6F6877"/>
    <w:rsid w:val="0074611C"/>
    <w:rsid w:val="007750BC"/>
    <w:rsid w:val="007A2ADF"/>
    <w:rsid w:val="007B28E6"/>
    <w:rsid w:val="007E3904"/>
    <w:rsid w:val="00843904"/>
    <w:rsid w:val="0088799E"/>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DF3B6E"/>
    <w:rsid w:val="00E00C78"/>
    <w:rsid w:val="00E513DD"/>
    <w:rsid w:val="00E82408"/>
    <w:rsid w:val="00ED765C"/>
    <w:rsid w:val="00EF5EE1"/>
    <w:rsid w:val="00F02DFE"/>
    <w:rsid w:val="00F05AB0"/>
    <w:rsid w:val="00F0760F"/>
    <w:rsid w:val="00F33D13"/>
    <w:rsid w:val="00F34F10"/>
    <w:rsid w:val="00F47D8B"/>
    <w:rsid w:val="00F50B60"/>
    <w:rsid w:val="00F627D0"/>
    <w:rsid w:val="00F841B6"/>
    <w:rsid w:val="00F92EA1"/>
    <w:rsid w:val="00FE674B"/>
    <w:rsid w:val="01041DE1"/>
    <w:rsid w:val="01077E09"/>
    <w:rsid w:val="011A4F78"/>
    <w:rsid w:val="01474FCB"/>
    <w:rsid w:val="016C5974"/>
    <w:rsid w:val="016E658B"/>
    <w:rsid w:val="01840FB9"/>
    <w:rsid w:val="019A01ED"/>
    <w:rsid w:val="019A524E"/>
    <w:rsid w:val="01A0498E"/>
    <w:rsid w:val="01A574CF"/>
    <w:rsid w:val="01A60C1B"/>
    <w:rsid w:val="01CF32DE"/>
    <w:rsid w:val="01DE1CE0"/>
    <w:rsid w:val="01E966BF"/>
    <w:rsid w:val="02395107"/>
    <w:rsid w:val="029B08C6"/>
    <w:rsid w:val="02A424C3"/>
    <w:rsid w:val="02B05971"/>
    <w:rsid w:val="02B71025"/>
    <w:rsid w:val="02EB09CE"/>
    <w:rsid w:val="02FA6D08"/>
    <w:rsid w:val="0300491B"/>
    <w:rsid w:val="030E32B0"/>
    <w:rsid w:val="03190295"/>
    <w:rsid w:val="034F533A"/>
    <w:rsid w:val="03877AE8"/>
    <w:rsid w:val="038A1F16"/>
    <w:rsid w:val="03E34199"/>
    <w:rsid w:val="041A101A"/>
    <w:rsid w:val="041D6583"/>
    <w:rsid w:val="04525A53"/>
    <w:rsid w:val="045D2E23"/>
    <w:rsid w:val="04861CA0"/>
    <w:rsid w:val="04A12BB9"/>
    <w:rsid w:val="04A37BF0"/>
    <w:rsid w:val="04C752EC"/>
    <w:rsid w:val="04F25DBA"/>
    <w:rsid w:val="04F46CEE"/>
    <w:rsid w:val="04FD5053"/>
    <w:rsid w:val="052159E9"/>
    <w:rsid w:val="054134AD"/>
    <w:rsid w:val="055E39C7"/>
    <w:rsid w:val="056C27CB"/>
    <w:rsid w:val="0571089C"/>
    <w:rsid w:val="058844D8"/>
    <w:rsid w:val="059A3C03"/>
    <w:rsid w:val="05AD7C3D"/>
    <w:rsid w:val="05B81468"/>
    <w:rsid w:val="05B92B80"/>
    <w:rsid w:val="05CC288F"/>
    <w:rsid w:val="05D37F8D"/>
    <w:rsid w:val="05DD1BF0"/>
    <w:rsid w:val="05FB3716"/>
    <w:rsid w:val="061355E6"/>
    <w:rsid w:val="06221253"/>
    <w:rsid w:val="063A49AE"/>
    <w:rsid w:val="064F5C41"/>
    <w:rsid w:val="069766D8"/>
    <w:rsid w:val="069A65B0"/>
    <w:rsid w:val="06EA3869"/>
    <w:rsid w:val="06EB297F"/>
    <w:rsid w:val="06F44776"/>
    <w:rsid w:val="071830B3"/>
    <w:rsid w:val="07232B13"/>
    <w:rsid w:val="072E12A5"/>
    <w:rsid w:val="072E4FA9"/>
    <w:rsid w:val="07404B50"/>
    <w:rsid w:val="07474730"/>
    <w:rsid w:val="07554650"/>
    <w:rsid w:val="075F5104"/>
    <w:rsid w:val="076E6440"/>
    <w:rsid w:val="079F7BD5"/>
    <w:rsid w:val="07BA03C9"/>
    <w:rsid w:val="07CC0B7F"/>
    <w:rsid w:val="08077668"/>
    <w:rsid w:val="080B0E60"/>
    <w:rsid w:val="08241B14"/>
    <w:rsid w:val="08346E32"/>
    <w:rsid w:val="083D4534"/>
    <w:rsid w:val="083E559C"/>
    <w:rsid w:val="084F3982"/>
    <w:rsid w:val="08675800"/>
    <w:rsid w:val="0870581B"/>
    <w:rsid w:val="08BD2F14"/>
    <w:rsid w:val="08CB51D0"/>
    <w:rsid w:val="08D80E0C"/>
    <w:rsid w:val="08FE04F3"/>
    <w:rsid w:val="090715AF"/>
    <w:rsid w:val="09085B92"/>
    <w:rsid w:val="093223D0"/>
    <w:rsid w:val="09414F75"/>
    <w:rsid w:val="094470AB"/>
    <w:rsid w:val="094E0A7E"/>
    <w:rsid w:val="09516CF9"/>
    <w:rsid w:val="095A6DFD"/>
    <w:rsid w:val="095E3F14"/>
    <w:rsid w:val="09926330"/>
    <w:rsid w:val="09A24612"/>
    <w:rsid w:val="09AD7F7C"/>
    <w:rsid w:val="09B92009"/>
    <w:rsid w:val="09BB3ACA"/>
    <w:rsid w:val="09C411E9"/>
    <w:rsid w:val="09D63199"/>
    <w:rsid w:val="09F124DC"/>
    <w:rsid w:val="09F8719E"/>
    <w:rsid w:val="0A0C359D"/>
    <w:rsid w:val="0A103B20"/>
    <w:rsid w:val="0A1469F1"/>
    <w:rsid w:val="0A173D8A"/>
    <w:rsid w:val="0A373271"/>
    <w:rsid w:val="0A382873"/>
    <w:rsid w:val="0A477D88"/>
    <w:rsid w:val="0A78659D"/>
    <w:rsid w:val="0A7B4003"/>
    <w:rsid w:val="0AA35EAE"/>
    <w:rsid w:val="0AAC7074"/>
    <w:rsid w:val="0AB622D1"/>
    <w:rsid w:val="0ADE2342"/>
    <w:rsid w:val="0AE21792"/>
    <w:rsid w:val="0AF33383"/>
    <w:rsid w:val="0AF55015"/>
    <w:rsid w:val="0AFD0EBC"/>
    <w:rsid w:val="0B054A96"/>
    <w:rsid w:val="0B11078A"/>
    <w:rsid w:val="0B7E67EB"/>
    <w:rsid w:val="0B944661"/>
    <w:rsid w:val="0B96175E"/>
    <w:rsid w:val="0BB81E48"/>
    <w:rsid w:val="0BBD7E79"/>
    <w:rsid w:val="0BE427FA"/>
    <w:rsid w:val="0BF550E1"/>
    <w:rsid w:val="0C1038E8"/>
    <w:rsid w:val="0C202296"/>
    <w:rsid w:val="0C415301"/>
    <w:rsid w:val="0C4853AF"/>
    <w:rsid w:val="0C5466CF"/>
    <w:rsid w:val="0C6C1EE0"/>
    <w:rsid w:val="0C7F3E15"/>
    <w:rsid w:val="0CC05689"/>
    <w:rsid w:val="0CD5224C"/>
    <w:rsid w:val="0CE47224"/>
    <w:rsid w:val="0CED527E"/>
    <w:rsid w:val="0D362C45"/>
    <w:rsid w:val="0D711EBE"/>
    <w:rsid w:val="0D771EA7"/>
    <w:rsid w:val="0DA728AC"/>
    <w:rsid w:val="0DAD175B"/>
    <w:rsid w:val="0DB22432"/>
    <w:rsid w:val="0DDF12DC"/>
    <w:rsid w:val="0DE11C21"/>
    <w:rsid w:val="0DE14E46"/>
    <w:rsid w:val="0E034A3B"/>
    <w:rsid w:val="0E3D4FDF"/>
    <w:rsid w:val="0E4A09D7"/>
    <w:rsid w:val="0E56201A"/>
    <w:rsid w:val="0E6E3C34"/>
    <w:rsid w:val="0EAF327B"/>
    <w:rsid w:val="0EE52C9E"/>
    <w:rsid w:val="0F1D748A"/>
    <w:rsid w:val="0F4E079B"/>
    <w:rsid w:val="0F501F1A"/>
    <w:rsid w:val="0F732504"/>
    <w:rsid w:val="0F782620"/>
    <w:rsid w:val="0F8A7784"/>
    <w:rsid w:val="0F8C51E0"/>
    <w:rsid w:val="0FB25952"/>
    <w:rsid w:val="0FC803F4"/>
    <w:rsid w:val="10090A65"/>
    <w:rsid w:val="1081433D"/>
    <w:rsid w:val="108B22CD"/>
    <w:rsid w:val="10AC6F3F"/>
    <w:rsid w:val="10C31C47"/>
    <w:rsid w:val="10C64AE7"/>
    <w:rsid w:val="10E107B7"/>
    <w:rsid w:val="10F04644"/>
    <w:rsid w:val="110171B2"/>
    <w:rsid w:val="11171B9A"/>
    <w:rsid w:val="111F30A5"/>
    <w:rsid w:val="117D375C"/>
    <w:rsid w:val="11900A86"/>
    <w:rsid w:val="119B1CE5"/>
    <w:rsid w:val="11D44799"/>
    <w:rsid w:val="11D65F4E"/>
    <w:rsid w:val="11E4251C"/>
    <w:rsid w:val="11E76EE9"/>
    <w:rsid w:val="11F2137A"/>
    <w:rsid w:val="1236016D"/>
    <w:rsid w:val="123900DB"/>
    <w:rsid w:val="123B6254"/>
    <w:rsid w:val="12527EEB"/>
    <w:rsid w:val="125C6826"/>
    <w:rsid w:val="12934DEA"/>
    <w:rsid w:val="12A73823"/>
    <w:rsid w:val="12B04029"/>
    <w:rsid w:val="12BD5E5F"/>
    <w:rsid w:val="12DA4242"/>
    <w:rsid w:val="12F46AB8"/>
    <w:rsid w:val="130A48C3"/>
    <w:rsid w:val="132303DD"/>
    <w:rsid w:val="1331496D"/>
    <w:rsid w:val="13392934"/>
    <w:rsid w:val="135167B1"/>
    <w:rsid w:val="13583AE1"/>
    <w:rsid w:val="1358580E"/>
    <w:rsid w:val="135A6265"/>
    <w:rsid w:val="136A73BB"/>
    <w:rsid w:val="136F4921"/>
    <w:rsid w:val="13742A14"/>
    <w:rsid w:val="139327D8"/>
    <w:rsid w:val="13A44AF4"/>
    <w:rsid w:val="13A46671"/>
    <w:rsid w:val="13D36FA4"/>
    <w:rsid w:val="13FA68E0"/>
    <w:rsid w:val="14256000"/>
    <w:rsid w:val="1448292D"/>
    <w:rsid w:val="1466786F"/>
    <w:rsid w:val="147E654B"/>
    <w:rsid w:val="14A668A4"/>
    <w:rsid w:val="14A9029F"/>
    <w:rsid w:val="14B83431"/>
    <w:rsid w:val="14E836E8"/>
    <w:rsid w:val="14F142C3"/>
    <w:rsid w:val="150B6FBF"/>
    <w:rsid w:val="152B1104"/>
    <w:rsid w:val="154A66B0"/>
    <w:rsid w:val="159C7EDD"/>
    <w:rsid w:val="15BE553B"/>
    <w:rsid w:val="15E03E14"/>
    <w:rsid w:val="15E4550B"/>
    <w:rsid w:val="15E9482E"/>
    <w:rsid w:val="161147C5"/>
    <w:rsid w:val="16327956"/>
    <w:rsid w:val="16473F31"/>
    <w:rsid w:val="16653D7B"/>
    <w:rsid w:val="166A7A3B"/>
    <w:rsid w:val="16725680"/>
    <w:rsid w:val="168B0BBD"/>
    <w:rsid w:val="169C3C7F"/>
    <w:rsid w:val="16A3322F"/>
    <w:rsid w:val="16C120B7"/>
    <w:rsid w:val="16CD3708"/>
    <w:rsid w:val="16D51B5B"/>
    <w:rsid w:val="16D7712F"/>
    <w:rsid w:val="176078E0"/>
    <w:rsid w:val="17654071"/>
    <w:rsid w:val="17704CFB"/>
    <w:rsid w:val="17916AE6"/>
    <w:rsid w:val="179D12F3"/>
    <w:rsid w:val="17AE49E6"/>
    <w:rsid w:val="17CD5A7B"/>
    <w:rsid w:val="17D735CF"/>
    <w:rsid w:val="17FF4932"/>
    <w:rsid w:val="18035F6A"/>
    <w:rsid w:val="1830753E"/>
    <w:rsid w:val="18550589"/>
    <w:rsid w:val="185C58E1"/>
    <w:rsid w:val="186366A3"/>
    <w:rsid w:val="187A66B9"/>
    <w:rsid w:val="187F3411"/>
    <w:rsid w:val="1881324F"/>
    <w:rsid w:val="18A246AF"/>
    <w:rsid w:val="18B26BC9"/>
    <w:rsid w:val="18E21372"/>
    <w:rsid w:val="18F32680"/>
    <w:rsid w:val="18F80417"/>
    <w:rsid w:val="18FE1274"/>
    <w:rsid w:val="192F165F"/>
    <w:rsid w:val="1935061F"/>
    <w:rsid w:val="195230E4"/>
    <w:rsid w:val="19565B90"/>
    <w:rsid w:val="195E3B99"/>
    <w:rsid w:val="196E4FB3"/>
    <w:rsid w:val="19C257AA"/>
    <w:rsid w:val="19C51AEA"/>
    <w:rsid w:val="19CE1BFF"/>
    <w:rsid w:val="19E27BFB"/>
    <w:rsid w:val="19F1587E"/>
    <w:rsid w:val="1A1C0B7B"/>
    <w:rsid w:val="1A40430B"/>
    <w:rsid w:val="1A4C49E1"/>
    <w:rsid w:val="1A9A126F"/>
    <w:rsid w:val="1AA4601E"/>
    <w:rsid w:val="1ABB3621"/>
    <w:rsid w:val="1ABF7C53"/>
    <w:rsid w:val="1ADE6206"/>
    <w:rsid w:val="1AE14356"/>
    <w:rsid w:val="1AE7452F"/>
    <w:rsid w:val="1AEF3B61"/>
    <w:rsid w:val="1B073464"/>
    <w:rsid w:val="1B0B332F"/>
    <w:rsid w:val="1B5E2B2B"/>
    <w:rsid w:val="1B6202DE"/>
    <w:rsid w:val="1BA06FEE"/>
    <w:rsid w:val="1BB22919"/>
    <w:rsid w:val="1BF91505"/>
    <w:rsid w:val="1C064DE2"/>
    <w:rsid w:val="1C263D41"/>
    <w:rsid w:val="1C4246FD"/>
    <w:rsid w:val="1C6673DB"/>
    <w:rsid w:val="1C6A1BB2"/>
    <w:rsid w:val="1C726F5B"/>
    <w:rsid w:val="1C8658F9"/>
    <w:rsid w:val="1C954CA8"/>
    <w:rsid w:val="1CC529AF"/>
    <w:rsid w:val="1CC914E2"/>
    <w:rsid w:val="1D031FA5"/>
    <w:rsid w:val="1D700D25"/>
    <w:rsid w:val="1DA1677A"/>
    <w:rsid w:val="1DA90A2F"/>
    <w:rsid w:val="1DD6639F"/>
    <w:rsid w:val="1DE55E1B"/>
    <w:rsid w:val="1DEA2636"/>
    <w:rsid w:val="1E015BFF"/>
    <w:rsid w:val="1E160478"/>
    <w:rsid w:val="1E261FEC"/>
    <w:rsid w:val="1E4A5D6E"/>
    <w:rsid w:val="1E5D014C"/>
    <w:rsid w:val="1E625159"/>
    <w:rsid w:val="1E6C052F"/>
    <w:rsid w:val="1E8017FF"/>
    <w:rsid w:val="1E8A1312"/>
    <w:rsid w:val="1EB31B66"/>
    <w:rsid w:val="1EB529F8"/>
    <w:rsid w:val="1EC035D7"/>
    <w:rsid w:val="1EC53CB0"/>
    <w:rsid w:val="1ED74678"/>
    <w:rsid w:val="1EF17AB3"/>
    <w:rsid w:val="1F0A0750"/>
    <w:rsid w:val="1F1F4D17"/>
    <w:rsid w:val="1F630DDF"/>
    <w:rsid w:val="1F8A3BD5"/>
    <w:rsid w:val="1FE63CE8"/>
    <w:rsid w:val="20254C14"/>
    <w:rsid w:val="204C2272"/>
    <w:rsid w:val="205E7BE3"/>
    <w:rsid w:val="208A18F1"/>
    <w:rsid w:val="208D63E6"/>
    <w:rsid w:val="20943FF9"/>
    <w:rsid w:val="20A200E4"/>
    <w:rsid w:val="20A506BA"/>
    <w:rsid w:val="20F63843"/>
    <w:rsid w:val="20FE18B0"/>
    <w:rsid w:val="21376EA4"/>
    <w:rsid w:val="213E3F71"/>
    <w:rsid w:val="21513A3C"/>
    <w:rsid w:val="215A766D"/>
    <w:rsid w:val="21667FDB"/>
    <w:rsid w:val="218A4F7E"/>
    <w:rsid w:val="219C1508"/>
    <w:rsid w:val="21BD424A"/>
    <w:rsid w:val="21FA5606"/>
    <w:rsid w:val="22046DF1"/>
    <w:rsid w:val="220A4513"/>
    <w:rsid w:val="22121299"/>
    <w:rsid w:val="222E6DF6"/>
    <w:rsid w:val="22807C0C"/>
    <w:rsid w:val="229575D0"/>
    <w:rsid w:val="22B32E1B"/>
    <w:rsid w:val="22CD6AE0"/>
    <w:rsid w:val="22F37B3A"/>
    <w:rsid w:val="236906A5"/>
    <w:rsid w:val="2375481A"/>
    <w:rsid w:val="23765F46"/>
    <w:rsid w:val="23797368"/>
    <w:rsid w:val="23822B30"/>
    <w:rsid w:val="23B06B01"/>
    <w:rsid w:val="23B828A0"/>
    <w:rsid w:val="23E96088"/>
    <w:rsid w:val="23EE120B"/>
    <w:rsid w:val="23F8406C"/>
    <w:rsid w:val="2403705B"/>
    <w:rsid w:val="24066BDB"/>
    <w:rsid w:val="24110B80"/>
    <w:rsid w:val="24453591"/>
    <w:rsid w:val="244F2331"/>
    <w:rsid w:val="24572D18"/>
    <w:rsid w:val="24841C1D"/>
    <w:rsid w:val="249D5D77"/>
    <w:rsid w:val="24B445FB"/>
    <w:rsid w:val="24BD6504"/>
    <w:rsid w:val="24C74F14"/>
    <w:rsid w:val="24D708E2"/>
    <w:rsid w:val="24DB0B9B"/>
    <w:rsid w:val="24E53CDB"/>
    <w:rsid w:val="24FB6730"/>
    <w:rsid w:val="251B6F7E"/>
    <w:rsid w:val="252515BC"/>
    <w:rsid w:val="252D2E7E"/>
    <w:rsid w:val="25787665"/>
    <w:rsid w:val="258969EA"/>
    <w:rsid w:val="25F5013E"/>
    <w:rsid w:val="262A1C6D"/>
    <w:rsid w:val="262F627F"/>
    <w:rsid w:val="26315BFD"/>
    <w:rsid w:val="264659B5"/>
    <w:rsid w:val="264A4407"/>
    <w:rsid w:val="26537397"/>
    <w:rsid w:val="26590269"/>
    <w:rsid w:val="2660154C"/>
    <w:rsid w:val="266E68AC"/>
    <w:rsid w:val="26A276B5"/>
    <w:rsid w:val="26BA68C7"/>
    <w:rsid w:val="26BB1824"/>
    <w:rsid w:val="26BF5E40"/>
    <w:rsid w:val="26F237CD"/>
    <w:rsid w:val="27057CC8"/>
    <w:rsid w:val="2719754A"/>
    <w:rsid w:val="2725126B"/>
    <w:rsid w:val="274C2D2B"/>
    <w:rsid w:val="27525FCD"/>
    <w:rsid w:val="2796594E"/>
    <w:rsid w:val="27BC024E"/>
    <w:rsid w:val="27BE3E87"/>
    <w:rsid w:val="27C17045"/>
    <w:rsid w:val="27C35275"/>
    <w:rsid w:val="28243568"/>
    <w:rsid w:val="283167B4"/>
    <w:rsid w:val="285C5812"/>
    <w:rsid w:val="28682A73"/>
    <w:rsid w:val="28811CA6"/>
    <w:rsid w:val="289B334C"/>
    <w:rsid w:val="289D577F"/>
    <w:rsid w:val="28AA1F85"/>
    <w:rsid w:val="28E404D9"/>
    <w:rsid w:val="28F4407D"/>
    <w:rsid w:val="291138C7"/>
    <w:rsid w:val="29120E51"/>
    <w:rsid w:val="29174ED6"/>
    <w:rsid w:val="29713020"/>
    <w:rsid w:val="29733D9F"/>
    <w:rsid w:val="297B24B1"/>
    <w:rsid w:val="29921F81"/>
    <w:rsid w:val="29A61468"/>
    <w:rsid w:val="29BE37C1"/>
    <w:rsid w:val="29DD03DE"/>
    <w:rsid w:val="2A257690"/>
    <w:rsid w:val="2A5039D7"/>
    <w:rsid w:val="2A665688"/>
    <w:rsid w:val="2A7D74CC"/>
    <w:rsid w:val="2A7F4563"/>
    <w:rsid w:val="2AB72260"/>
    <w:rsid w:val="2B02766B"/>
    <w:rsid w:val="2B1627CA"/>
    <w:rsid w:val="2B3959B8"/>
    <w:rsid w:val="2B3F4C1F"/>
    <w:rsid w:val="2B452058"/>
    <w:rsid w:val="2B4D1216"/>
    <w:rsid w:val="2B58393A"/>
    <w:rsid w:val="2B8030A5"/>
    <w:rsid w:val="2BE06712"/>
    <w:rsid w:val="2C002162"/>
    <w:rsid w:val="2C095760"/>
    <w:rsid w:val="2C0D429C"/>
    <w:rsid w:val="2C4016E9"/>
    <w:rsid w:val="2C6E581C"/>
    <w:rsid w:val="2C717596"/>
    <w:rsid w:val="2C7A7AA0"/>
    <w:rsid w:val="2CA30589"/>
    <w:rsid w:val="2CA64AB8"/>
    <w:rsid w:val="2CB57056"/>
    <w:rsid w:val="2CC31B0E"/>
    <w:rsid w:val="2D146D2C"/>
    <w:rsid w:val="2D155FB3"/>
    <w:rsid w:val="2D167200"/>
    <w:rsid w:val="2D3B7B03"/>
    <w:rsid w:val="2D440581"/>
    <w:rsid w:val="2D470656"/>
    <w:rsid w:val="2D493ADC"/>
    <w:rsid w:val="2D55451C"/>
    <w:rsid w:val="2D5B158F"/>
    <w:rsid w:val="2D865C52"/>
    <w:rsid w:val="2DD30997"/>
    <w:rsid w:val="2DD85F0E"/>
    <w:rsid w:val="2DF144D1"/>
    <w:rsid w:val="2DFB6036"/>
    <w:rsid w:val="2E037C91"/>
    <w:rsid w:val="2E3472AB"/>
    <w:rsid w:val="2E3D031C"/>
    <w:rsid w:val="2E916CDE"/>
    <w:rsid w:val="2EA86437"/>
    <w:rsid w:val="2EB103B1"/>
    <w:rsid w:val="2F0F71E6"/>
    <w:rsid w:val="2F125BF3"/>
    <w:rsid w:val="2F13163F"/>
    <w:rsid w:val="2F383A5C"/>
    <w:rsid w:val="2F393B56"/>
    <w:rsid w:val="2F3A7B8C"/>
    <w:rsid w:val="2F4559EE"/>
    <w:rsid w:val="2F5954A4"/>
    <w:rsid w:val="2F742945"/>
    <w:rsid w:val="2F9D4B14"/>
    <w:rsid w:val="2FBE43F5"/>
    <w:rsid w:val="2FC53C32"/>
    <w:rsid w:val="2FC55B9D"/>
    <w:rsid w:val="2FD157C7"/>
    <w:rsid w:val="2FDE0D5C"/>
    <w:rsid w:val="2FFE794A"/>
    <w:rsid w:val="300A115E"/>
    <w:rsid w:val="301241C3"/>
    <w:rsid w:val="30296BB8"/>
    <w:rsid w:val="308811B6"/>
    <w:rsid w:val="30881C59"/>
    <w:rsid w:val="309D4655"/>
    <w:rsid w:val="30C026F3"/>
    <w:rsid w:val="30EA4040"/>
    <w:rsid w:val="315423FA"/>
    <w:rsid w:val="315B7AEC"/>
    <w:rsid w:val="31710789"/>
    <w:rsid w:val="317503B0"/>
    <w:rsid w:val="31D53C4D"/>
    <w:rsid w:val="31E3590E"/>
    <w:rsid w:val="31F2254D"/>
    <w:rsid w:val="31F71A11"/>
    <w:rsid w:val="31FE12AB"/>
    <w:rsid w:val="320E382B"/>
    <w:rsid w:val="321A185A"/>
    <w:rsid w:val="321B4537"/>
    <w:rsid w:val="32513A45"/>
    <w:rsid w:val="3253673D"/>
    <w:rsid w:val="325B682D"/>
    <w:rsid w:val="32B50B2C"/>
    <w:rsid w:val="32C84DFE"/>
    <w:rsid w:val="32D7610D"/>
    <w:rsid w:val="32FA3DAF"/>
    <w:rsid w:val="332D5F33"/>
    <w:rsid w:val="3337740D"/>
    <w:rsid w:val="337F1035"/>
    <w:rsid w:val="33805DA1"/>
    <w:rsid w:val="338C56E4"/>
    <w:rsid w:val="33934B2E"/>
    <w:rsid w:val="339441CF"/>
    <w:rsid w:val="33B60D2B"/>
    <w:rsid w:val="33C37075"/>
    <w:rsid w:val="34062C68"/>
    <w:rsid w:val="341C738A"/>
    <w:rsid w:val="341E030F"/>
    <w:rsid w:val="34234173"/>
    <w:rsid w:val="344B3744"/>
    <w:rsid w:val="34585C1B"/>
    <w:rsid w:val="348F0A80"/>
    <w:rsid w:val="349158FD"/>
    <w:rsid w:val="34A131A3"/>
    <w:rsid w:val="34A26022"/>
    <w:rsid w:val="34B0567F"/>
    <w:rsid w:val="34B443F6"/>
    <w:rsid w:val="34E12F4E"/>
    <w:rsid w:val="34EB31AA"/>
    <w:rsid w:val="34EC41DF"/>
    <w:rsid w:val="35040A33"/>
    <w:rsid w:val="351A24AD"/>
    <w:rsid w:val="35273121"/>
    <w:rsid w:val="352F69D9"/>
    <w:rsid w:val="354E123E"/>
    <w:rsid w:val="354F2AD2"/>
    <w:rsid w:val="358D6E3D"/>
    <w:rsid w:val="35A70F55"/>
    <w:rsid w:val="35C36B07"/>
    <w:rsid w:val="35C60438"/>
    <w:rsid w:val="360D6591"/>
    <w:rsid w:val="361F2C5E"/>
    <w:rsid w:val="363976F7"/>
    <w:rsid w:val="36681B72"/>
    <w:rsid w:val="366E68DA"/>
    <w:rsid w:val="367F1281"/>
    <w:rsid w:val="36BD137C"/>
    <w:rsid w:val="36CB1803"/>
    <w:rsid w:val="36E02E58"/>
    <w:rsid w:val="36E76E85"/>
    <w:rsid w:val="36F84B57"/>
    <w:rsid w:val="374069C5"/>
    <w:rsid w:val="3751494E"/>
    <w:rsid w:val="375A24EA"/>
    <w:rsid w:val="37757EA8"/>
    <w:rsid w:val="3784494C"/>
    <w:rsid w:val="37BC00E4"/>
    <w:rsid w:val="37C859C7"/>
    <w:rsid w:val="37D62F7A"/>
    <w:rsid w:val="37E40AE8"/>
    <w:rsid w:val="3801173C"/>
    <w:rsid w:val="38060F79"/>
    <w:rsid w:val="38077FF1"/>
    <w:rsid w:val="382905BD"/>
    <w:rsid w:val="38367CE6"/>
    <w:rsid w:val="38446261"/>
    <w:rsid w:val="384E5649"/>
    <w:rsid w:val="38746ABC"/>
    <w:rsid w:val="38761BD7"/>
    <w:rsid w:val="38A92B31"/>
    <w:rsid w:val="38AE69D5"/>
    <w:rsid w:val="38C63525"/>
    <w:rsid w:val="38CC58A6"/>
    <w:rsid w:val="38FC0060"/>
    <w:rsid w:val="38FC32F5"/>
    <w:rsid w:val="38FD17EE"/>
    <w:rsid w:val="39030A9D"/>
    <w:rsid w:val="39113643"/>
    <w:rsid w:val="393A37CB"/>
    <w:rsid w:val="393B35FD"/>
    <w:rsid w:val="396866FD"/>
    <w:rsid w:val="39741B90"/>
    <w:rsid w:val="397E03C2"/>
    <w:rsid w:val="39BB3AC3"/>
    <w:rsid w:val="39BC3B6C"/>
    <w:rsid w:val="39DF043A"/>
    <w:rsid w:val="39FE32B3"/>
    <w:rsid w:val="39FF59A7"/>
    <w:rsid w:val="3A06128C"/>
    <w:rsid w:val="3A070DC0"/>
    <w:rsid w:val="3A1C1961"/>
    <w:rsid w:val="3A2065C7"/>
    <w:rsid w:val="3A213653"/>
    <w:rsid w:val="3A3315EB"/>
    <w:rsid w:val="3A34378D"/>
    <w:rsid w:val="3A36160B"/>
    <w:rsid w:val="3A5B3A12"/>
    <w:rsid w:val="3A623A31"/>
    <w:rsid w:val="3A6F51D2"/>
    <w:rsid w:val="3AA50AA5"/>
    <w:rsid w:val="3AA54601"/>
    <w:rsid w:val="3AAF36D1"/>
    <w:rsid w:val="3AEB3C21"/>
    <w:rsid w:val="3AFB6043"/>
    <w:rsid w:val="3B041E40"/>
    <w:rsid w:val="3B191C47"/>
    <w:rsid w:val="3B205806"/>
    <w:rsid w:val="3B295FAA"/>
    <w:rsid w:val="3B5C6A72"/>
    <w:rsid w:val="3B5F1513"/>
    <w:rsid w:val="3B7F2CAA"/>
    <w:rsid w:val="3BEB3716"/>
    <w:rsid w:val="3C1A13DF"/>
    <w:rsid w:val="3C3A4FEB"/>
    <w:rsid w:val="3C4F0EBB"/>
    <w:rsid w:val="3C635FA0"/>
    <w:rsid w:val="3C8659AE"/>
    <w:rsid w:val="3C942B7F"/>
    <w:rsid w:val="3CA66A58"/>
    <w:rsid w:val="3CB269B6"/>
    <w:rsid w:val="3CBE3C7C"/>
    <w:rsid w:val="3CD165D4"/>
    <w:rsid w:val="3CE32014"/>
    <w:rsid w:val="3CE6704E"/>
    <w:rsid w:val="3CF316DB"/>
    <w:rsid w:val="3D39355A"/>
    <w:rsid w:val="3D3C44DD"/>
    <w:rsid w:val="3D5001A7"/>
    <w:rsid w:val="3D5211A5"/>
    <w:rsid w:val="3D5B3EF0"/>
    <w:rsid w:val="3D5C58DF"/>
    <w:rsid w:val="3D9214B7"/>
    <w:rsid w:val="3DA65146"/>
    <w:rsid w:val="3DB23DD9"/>
    <w:rsid w:val="3DF57F08"/>
    <w:rsid w:val="3E143052"/>
    <w:rsid w:val="3E390C78"/>
    <w:rsid w:val="3E500D27"/>
    <w:rsid w:val="3E573ADE"/>
    <w:rsid w:val="3EA55E90"/>
    <w:rsid w:val="3ECD0998"/>
    <w:rsid w:val="3ED508CA"/>
    <w:rsid w:val="3EF25E2A"/>
    <w:rsid w:val="3F1109BC"/>
    <w:rsid w:val="3F1B7587"/>
    <w:rsid w:val="3F805B16"/>
    <w:rsid w:val="3F946522"/>
    <w:rsid w:val="3F9B06C8"/>
    <w:rsid w:val="3FA42170"/>
    <w:rsid w:val="3FAF36DB"/>
    <w:rsid w:val="3FE1257F"/>
    <w:rsid w:val="3FF5218F"/>
    <w:rsid w:val="40005F83"/>
    <w:rsid w:val="4050373A"/>
    <w:rsid w:val="405759DA"/>
    <w:rsid w:val="406A14B3"/>
    <w:rsid w:val="407C15D8"/>
    <w:rsid w:val="40837754"/>
    <w:rsid w:val="409D1B0D"/>
    <w:rsid w:val="40C801C3"/>
    <w:rsid w:val="40F97CA8"/>
    <w:rsid w:val="410B29F4"/>
    <w:rsid w:val="41171B69"/>
    <w:rsid w:val="41200E85"/>
    <w:rsid w:val="412C1F7C"/>
    <w:rsid w:val="41415E9E"/>
    <w:rsid w:val="414913C8"/>
    <w:rsid w:val="41883A8E"/>
    <w:rsid w:val="418A60B4"/>
    <w:rsid w:val="41943621"/>
    <w:rsid w:val="41A908CE"/>
    <w:rsid w:val="41B370D6"/>
    <w:rsid w:val="41B71371"/>
    <w:rsid w:val="42212582"/>
    <w:rsid w:val="423B574B"/>
    <w:rsid w:val="42625CA5"/>
    <w:rsid w:val="42755843"/>
    <w:rsid w:val="42794CE2"/>
    <w:rsid w:val="428704C4"/>
    <w:rsid w:val="42A72155"/>
    <w:rsid w:val="42C70708"/>
    <w:rsid w:val="42E0254C"/>
    <w:rsid w:val="42F40D67"/>
    <w:rsid w:val="43024C98"/>
    <w:rsid w:val="43066FF8"/>
    <w:rsid w:val="43083995"/>
    <w:rsid w:val="430B231C"/>
    <w:rsid w:val="43146FF6"/>
    <w:rsid w:val="433204F8"/>
    <w:rsid w:val="43364990"/>
    <w:rsid w:val="433C3AAA"/>
    <w:rsid w:val="4345322A"/>
    <w:rsid w:val="434C6DAF"/>
    <w:rsid w:val="43580CE8"/>
    <w:rsid w:val="43600192"/>
    <w:rsid w:val="43964A1C"/>
    <w:rsid w:val="43E22B61"/>
    <w:rsid w:val="44031DB9"/>
    <w:rsid w:val="44330D9D"/>
    <w:rsid w:val="447943E7"/>
    <w:rsid w:val="448C57E4"/>
    <w:rsid w:val="44B41FCD"/>
    <w:rsid w:val="44F46625"/>
    <w:rsid w:val="44F52628"/>
    <w:rsid w:val="454722BC"/>
    <w:rsid w:val="454C191C"/>
    <w:rsid w:val="45547C0E"/>
    <w:rsid w:val="4556652D"/>
    <w:rsid w:val="45861251"/>
    <w:rsid w:val="459911EE"/>
    <w:rsid w:val="4599227F"/>
    <w:rsid w:val="45BE024B"/>
    <w:rsid w:val="45BE2AD4"/>
    <w:rsid w:val="45C2437E"/>
    <w:rsid w:val="45EA2721"/>
    <w:rsid w:val="460A0745"/>
    <w:rsid w:val="46300B95"/>
    <w:rsid w:val="463A3C1C"/>
    <w:rsid w:val="466B2BA2"/>
    <w:rsid w:val="466E6ADA"/>
    <w:rsid w:val="4699240B"/>
    <w:rsid w:val="46B7014A"/>
    <w:rsid w:val="46ED5CA5"/>
    <w:rsid w:val="46FE4C6E"/>
    <w:rsid w:val="47062AB6"/>
    <w:rsid w:val="471A6376"/>
    <w:rsid w:val="472D53FB"/>
    <w:rsid w:val="475A659D"/>
    <w:rsid w:val="476207DA"/>
    <w:rsid w:val="47765740"/>
    <w:rsid w:val="47944B93"/>
    <w:rsid w:val="47B14EAE"/>
    <w:rsid w:val="47C00B3A"/>
    <w:rsid w:val="47C04462"/>
    <w:rsid w:val="47C96CD1"/>
    <w:rsid w:val="47D40048"/>
    <w:rsid w:val="47D84F8A"/>
    <w:rsid w:val="47DB6ABB"/>
    <w:rsid w:val="48083448"/>
    <w:rsid w:val="481823FF"/>
    <w:rsid w:val="48460696"/>
    <w:rsid w:val="48690DD9"/>
    <w:rsid w:val="486B54EB"/>
    <w:rsid w:val="4887121F"/>
    <w:rsid w:val="48F702B1"/>
    <w:rsid w:val="49147605"/>
    <w:rsid w:val="491C7E92"/>
    <w:rsid w:val="492910E2"/>
    <w:rsid w:val="492E569F"/>
    <w:rsid w:val="494A1301"/>
    <w:rsid w:val="494B446A"/>
    <w:rsid w:val="494E1C27"/>
    <w:rsid w:val="4960323C"/>
    <w:rsid w:val="49616B54"/>
    <w:rsid w:val="497F0713"/>
    <w:rsid w:val="49A36AB0"/>
    <w:rsid w:val="49A97E85"/>
    <w:rsid w:val="49D2118A"/>
    <w:rsid w:val="49D92DDD"/>
    <w:rsid w:val="49EF5321"/>
    <w:rsid w:val="4A034815"/>
    <w:rsid w:val="4A347F6C"/>
    <w:rsid w:val="4A444508"/>
    <w:rsid w:val="4A456A14"/>
    <w:rsid w:val="4A66451F"/>
    <w:rsid w:val="4A9D0D79"/>
    <w:rsid w:val="4A9D45B8"/>
    <w:rsid w:val="4A9F545E"/>
    <w:rsid w:val="4AAB056F"/>
    <w:rsid w:val="4B08573B"/>
    <w:rsid w:val="4B626F00"/>
    <w:rsid w:val="4B743C77"/>
    <w:rsid w:val="4B8B339F"/>
    <w:rsid w:val="4BC53B5B"/>
    <w:rsid w:val="4BC802A5"/>
    <w:rsid w:val="4BE53FE4"/>
    <w:rsid w:val="4C1242C5"/>
    <w:rsid w:val="4C340FD6"/>
    <w:rsid w:val="4C4A39CC"/>
    <w:rsid w:val="4C4D4AF8"/>
    <w:rsid w:val="4C6954C4"/>
    <w:rsid w:val="4C744BB3"/>
    <w:rsid w:val="4C851F32"/>
    <w:rsid w:val="4C964045"/>
    <w:rsid w:val="4CE2366D"/>
    <w:rsid w:val="4CF364F1"/>
    <w:rsid w:val="4D010671"/>
    <w:rsid w:val="4D316B33"/>
    <w:rsid w:val="4D352FBB"/>
    <w:rsid w:val="4D743D8A"/>
    <w:rsid w:val="4D994499"/>
    <w:rsid w:val="4D9A14C4"/>
    <w:rsid w:val="4DA96C4E"/>
    <w:rsid w:val="4DCD4142"/>
    <w:rsid w:val="4DF70A62"/>
    <w:rsid w:val="4E0614E3"/>
    <w:rsid w:val="4E2452B7"/>
    <w:rsid w:val="4E407867"/>
    <w:rsid w:val="4E695109"/>
    <w:rsid w:val="4E92190F"/>
    <w:rsid w:val="4E9C3B92"/>
    <w:rsid w:val="4E9D6524"/>
    <w:rsid w:val="4EAD1AF9"/>
    <w:rsid w:val="4EE23C1E"/>
    <w:rsid w:val="4F1913AC"/>
    <w:rsid w:val="4F4F5A65"/>
    <w:rsid w:val="4F6426A9"/>
    <w:rsid w:val="4F6810CB"/>
    <w:rsid w:val="4F7A31F5"/>
    <w:rsid w:val="4F8E1D0C"/>
    <w:rsid w:val="4FB3028B"/>
    <w:rsid w:val="4FB77179"/>
    <w:rsid w:val="4FB92CDA"/>
    <w:rsid w:val="4FE775A6"/>
    <w:rsid w:val="4FF54231"/>
    <w:rsid w:val="50077447"/>
    <w:rsid w:val="50115E97"/>
    <w:rsid w:val="502F4C40"/>
    <w:rsid w:val="50343739"/>
    <w:rsid w:val="50623802"/>
    <w:rsid w:val="50652E94"/>
    <w:rsid w:val="508700F4"/>
    <w:rsid w:val="50A970CD"/>
    <w:rsid w:val="50C72D83"/>
    <w:rsid w:val="50DA2757"/>
    <w:rsid w:val="50EC664D"/>
    <w:rsid w:val="51467324"/>
    <w:rsid w:val="5163596F"/>
    <w:rsid w:val="51642065"/>
    <w:rsid w:val="51895F2D"/>
    <w:rsid w:val="51A0460E"/>
    <w:rsid w:val="51A60230"/>
    <w:rsid w:val="51A823AB"/>
    <w:rsid w:val="51CC648B"/>
    <w:rsid w:val="51E202B2"/>
    <w:rsid w:val="51FC6565"/>
    <w:rsid w:val="52030FE6"/>
    <w:rsid w:val="52065DA2"/>
    <w:rsid w:val="52294007"/>
    <w:rsid w:val="522E4D5D"/>
    <w:rsid w:val="524A71B5"/>
    <w:rsid w:val="52642695"/>
    <w:rsid w:val="5279373F"/>
    <w:rsid w:val="528B1069"/>
    <w:rsid w:val="528D5BD8"/>
    <w:rsid w:val="528F0DD4"/>
    <w:rsid w:val="52930D7F"/>
    <w:rsid w:val="5296438C"/>
    <w:rsid w:val="52B93795"/>
    <w:rsid w:val="52D33C96"/>
    <w:rsid w:val="530F2B4C"/>
    <w:rsid w:val="53144C5A"/>
    <w:rsid w:val="53186F98"/>
    <w:rsid w:val="5334617E"/>
    <w:rsid w:val="53AE0CB6"/>
    <w:rsid w:val="53BE69F0"/>
    <w:rsid w:val="53D170F4"/>
    <w:rsid w:val="53D2774D"/>
    <w:rsid w:val="53E1541E"/>
    <w:rsid w:val="5434742F"/>
    <w:rsid w:val="544F1C50"/>
    <w:rsid w:val="54606A92"/>
    <w:rsid w:val="54611A81"/>
    <w:rsid w:val="54DC110F"/>
    <w:rsid w:val="55563FAE"/>
    <w:rsid w:val="55671A8F"/>
    <w:rsid w:val="557D655D"/>
    <w:rsid w:val="55846FDD"/>
    <w:rsid w:val="558933C3"/>
    <w:rsid w:val="55B177EA"/>
    <w:rsid w:val="55CD48C4"/>
    <w:rsid w:val="560C425A"/>
    <w:rsid w:val="56116B32"/>
    <w:rsid w:val="562365CA"/>
    <w:rsid w:val="56340430"/>
    <w:rsid w:val="563A60ED"/>
    <w:rsid w:val="56581D59"/>
    <w:rsid w:val="568502CA"/>
    <w:rsid w:val="56B0773B"/>
    <w:rsid w:val="56C254B7"/>
    <w:rsid w:val="5709588E"/>
    <w:rsid w:val="570C5D6D"/>
    <w:rsid w:val="571760EF"/>
    <w:rsid w:val="571F7ADE"/>
    <w:rsid w:val="5778214B"/>
    <w:rsid w:val="57792910"/>
    <w:rsid w:val="5781180D"/>
    <w:rsid w:val="57C77D46"/>
    <w:rsid w:val="57CF4F1B"/>
    <w:rsid w:val="58201757"/>
    <w:rsid w:val="58342B4F"/>
    <w:rsid w:val="58514364"/>
    <w:rsid w:val="585818C8"/>
    <w:rsid w:val="58602168"/>
    <w:rsid w:val="5860738B"/>
    <w:rsid w:val="58AB4E89"/>
    <w:rsid w:val="58AD7356"/>
    <w:rsid w:val="58B5550E"/>
    <w:rsid w:val="58BD5C76"/>
    <w:rsid w:val="58C11261"/>
    <w:rsid w:val="58C34E9B"/>
    <w:rsid w:val="58CB74D0"/>
    <w:rsid w:val="58D20175"/>
    <w:rsid w:val="58E233C9"/>
    <w:rsid w:val="591A393C"/>
    <w:rsid w:val="59303772"/>
    <w:rsid w:val="59340E0B"/>
    <w:rsid w:val="594B41E0"/>
    <w:rsid w:val="59854F0A"/>
    <w:rsid w:val="59975605"/>
    <w:rsid w:val="59AD7B0E"/>
    <w:rsid w:val="59B73D81"/>
    <w:rsid w:val="59CD28EC"/>
    <w:rsid w:val="59D55070"/>
    <w:rsid w:val="59D55FBA"/>
    <w:rsid w:val="59DA18AC"/>
    <w:rsid w:val="59E546A4"/>
    <w:rsid w:val="59FD6E5D"/>
    <w:rsid w:val="5A0304DD"/>
    <w:rsid w:val="5A2F5AF5"/>
    <w:rsid w:val="5A4439EB"/>
    <w:rsid w:val="5A637B38"/>
    <w:rsid w:val="5A8C0168"/>
    <w:rsid w:val="5A8D1386"/>
    <w:rsid w:val="5A93303B"/>
    <w:rsid w:val="5ABB6C3C"/>
    <w:rsid w:val="5AC245CB"/>
    <w:rsid w:val="5ACD77B4"/>
    <w:rsid w:val="5AF81615"/>
    <w:rsid w:val="5AFF7905"/>
    <w:rsid w:val="5B1836AE"/>
    <w:rsid w:val="5B433721"/>
    <w:rsid w:val="5B492C91"/>
    <w:rsid w:val="5B5D57A1"/>
    <w:rsid w:val="5B6B15AA"/>
    <w:rsid w:val="5B987BF7"/>
    <w:rsid w:val="5BAF6495"/>
    <w:rsid w:val="5BF25754"/>
    <w:rsid w:val="5C0E07A3"/>
    <w:rsid w:val="5C1271C4"/>
    <w:rsid w:val="5C1A09DA"/>
    <w:rsid w:val="5C1E13B0"/>
    <w:rsid w:val="5C1E7291"/>
    <w:rsid w:val="5C662A50"/>
    <w:rsid w:val="5C9D06C7"/>
    <w:rsid w:val="5CA61CCA"/>
    <w:rsid w:val="5CC73DD6"/>
    <w:rsid w:val="5CDC7430"/>
    <w:rsid w:val="5CEA2522"/>
    <w:rsid w:val="5CF2777D"/>
    <w:rsid w:val="5D0D01B7"/>
    <w:rsid w:val="5D2708E3"/>
    <w:rsid w:val="5D664D05"/>
    <w:rsid w:val="5D6E48CE"/>
    <w:rsid w:val="5D7C584C"/>
    <w:rsid w:val="5D7D3C0A"/>
    <w:rsid w:val="5D7F0635"/>
    <w:rsid w:val="5D894E7F"/>
    <w:rsid w:val="5D8D080D"/>
    <w:rsid w:val="5D935CE3"/>
    <w:rsid w:val="5DA402F0"/>
    <w:rsid w:val="5DBF6493"/>
    <w:rsid w:val="5DC05209"/>
    <w:rsid w:val="5DC12605"/>
    <w:rsid w:val="5E000CA6"/>
    <w:rsid w:val="5E3A6AA2"/>
    <w:rsid w:val="5E3D55BB"/>
    <w:rsid w:val="5E3E4C2D"/>
    <w:rsid w:val="5E5867E1"/>
    <w:rsid w:val="5E674F7E"/>
    <w:rsid w:val="5E874CE8"/>
    <w:rsid w:val="5E8D71DE"/>
    <w:rsid w:val="5E9D1B20"/>
    <w:rsid w:val="5EB00E5C"/>
    <w:rsid w:val="5ED35331"/>
    <w:rsid w:val="5EE37831"/>
    <w:rsid w:val="5EEB7859"/>
    <w:rsid w:val="5F0A3D5F"/>
    <w:rsid w:val="5F213F68"/>
    <w:rsid w:val="5F2F6349"/>
    <w:rsid w:val="5F583929"/>
    <w:rsid w:val="5F600D4E"/>
    <w:rsid w:val="5F6E5812"/>
    <w:rsid w:val="5F883F49"/>
    <w:rsid w:val="5F8E3078"/>
    <w:rsid w:val="5F956DDF"/>
    <w:rsid w:val="5F991667"/>
    <w:rsid w:val="5FA416F1"/>
    <w:rsid w:val="5FD064E9"/>
    <w:rsid w:val="5FD93954"/>
    <w:rsid w:val="5FDC55D3"/>
    <w:rsid w:val="5FE77994"/>
    <w:rsid w:val="5FF469EE"/>
    <w:rsid w:val="5FFB0094"/>
    <w:rsid w:val="60160416"/>
    <w:rsid w:val="60211CCF"/>
    <w:rsid w:val="60305CC7"/>
    <w:rsid w:val="604672E7"/>
    <w:rsid w:val="604A1238"/>
    <w:rsid w:val="606107A7"/>
    <w:rsid w:val="609D4E6C"/>
    <w:rsid w:val="60A62DBA"/>
    <w:rsid w:val="60C03CCF"/>
    <w:rsid w:val="60D42D03"/>
    <w:rsid w:val="60E62C9D"/>
    <w:rsid w:val="611B62E0"/>
    <w:rsid w:val="615E501E"/>
    <w:rsid w:val="6180773A"/>
    <w:rsid w:val="618B0BA0"/>
    <w:rsid w:val="61A06374"/>
    <w:rsid w:val="6221139D"/>
    <w:rsid w:val="622470A5"/>
    <w:rsid w:val="62247F4C"/>
    <w:rsid w:val="622540F5"/>
    <w:rsid w:val="622D2FAA"/>
    <w:rsid w:val="624375DB"/>
    <w:rsid w:val="625D25EA"/>
    <w:rsid w:val="62734B1F"/>
    <w:rsid w:val="62857C4E"/>
    <w:rsid w:val="6286607D"/>
    <w:rsid w:val="62A62781"/>
    <w:rsid w:val="62E05FC6"/>
    <w:rsid w:val="62E358BC"/>
    <w:rsid w:val="62E53885"/>
    <w:rsid w:val="62FD3864"/>
    <w:rsid w:val="63464F7D"/>
    <w:rsid w:val="634B0772"/>
    <w:rsid w:val="635D78BF"/>
    <w:rsid w:val="636E7A2E"/>
    <w:rsid w:val="63815A2A"/>
    <w:rsid w:val="63877E7E"/>
    <w:rsid w:val="63BF7E8E"/>
    <w:rsid w:val="63C01CBD"/>
    <w:rsid w:val="63EC3837"/>
    <w:rsid w:val="63FC4F9D"/>
    <w:rsid w:val="640A3035"/>
    <w:rsid w:val="643F3D04"/>
    <w:rsid w:val="644204E6"/>
    <w:rsid w:val="64635DFB"/>
    <w:rsid w:val="64683A23"/>
    <w:rsid w:val="64942E6C"/>
    <w:rsid w:val="64AE1C9E"/>
    <w:rsid w:val="64AF3910"/>
    <w:rsid w:val="64BC2C9E"/>
    <w:rsid w:val="64C626B7"/>
    <w:rsid w:val="64D57287"/>
    <w:rsid w:val="64E918AA"/>
    <w:rsid w:val="65252157"/>
    <w:rsid w:val="65683151"/>
    <w:rsid w:val="658066C4"/>
    <w:rsid w:val="65912A7B"/>
    <w:rsid w:val="65A90FD6"/>
    <w:rsid w:val="660428AE"/>
    <w:rsid w:val="660D1E09"/>
    <w:rsid w:val="660E4242"/>
    <w:rsid w:val="662519F4"/>
    <w:rsid w:val="66354951"/>
    <w:rsid w:val="666A2C09"/>
    <w:rsid w:val="6679092A"/>
    <w:rsid w:val="669315AD"/>
    <w:rsid w:val="66BA2385"/>
    <w:rsid w:val="66DB09CF"/>
    <w:rsid w:val="66E96680"/>
    <w:rsid w:val="66F422E8"/>
    <w:rsid w:val="67237A0F"/>
    <w:rsid w:val="67461374"/>
    <w:rsid w:val="67487CFE"/>
    <w:rsid w:val="67695728"/>
    <w:rsid w:val="677038E2"/>
    <w:rsid w:val="677777A9"/>
    <w:rsid w:val="67844587"/>
    <w:rsid w:val="67B43783"/>
    <w:rsid w:val="67B92A72"/>
    <w:rsid w:val="67C24235"/>
    <w:rsid w:val="67D547C2"/>
    <w:rsid w:val="67FA0E09"/>
    <w:rsid w:val="68075EA1"/>
    <w:rsid w:val="68233F9E"/>
    <w:rsid w:val="68277A88"/>
    <w:rsid w:val="686831F8"/>
    <w:rsid w:val="687E435B"/>
    <w:rsid w:val="689340A3"/>
    <w:rsid w:val="68A12E72"/>
    <w:rsid w:val="68D63EC7"/>
    <w:rsid w:val="68DC73EC"/>
    <w:rsid w:val="69054B5C"/>
    <w:rsid w:val="69293200"/>
    <w:rsid w:val="694347AF"/>
    <w:rsid w:val="694F06EB"/>
    <w:rsid w:val="6963607F"/>
    <w:rsid w:val="696403F8"/>
    <w:rsid w:val="69766916"/>
    <w:rsid w:val="698D63CB"/>
    <w:rsid w:val="698F77F4"/>
    <w:rsid w:val="69B23B9D"/>
    <w:rsid w:val="69B5510C"/>
    <w:rsid w:val="69E82867"/>
    <w:rsid w:val="69F570F2"/>
    <w:rsid w:val="6A086F70"/>
    <w:rsid w:val="6A2C3B47"/>
    <w:rsid w:val="6A540655"/>
    <w:rsid w:val="6A5B510D"/>
    <w:rsid w:val="6A5F2917"/>
    <w:rsid w:val="6A8D4C80"/>
    <w:rsid w:val="6AA159CB"/>
    <w:rsid w:val="6AA26939"/>
    <w:rsid w:val="6AB544E5"/>
    <w:rsid w:val="6ACB1DCC"/>
    <w:rsid w:val="6AD50437"/>
    <w:rsid w:val="6AE4041A"/>
    <w:rsid w:val="6AEE57CB"/>
    <w:rsid w:val="6B0358FC"/>
    <w:rsid w:val="6B057F21"/>
    <w:rsid w:val="6B0A1798"/>
    <w:rsid w:val="6B3030A0"/>
    <w:rsid w:val="6B3E2D98"/>
    <w:rsid w:val="6B40610C"/>
    <w:rsid w:val="6B41454A"/>
    <w:rsid w:val="6B417EB3"/>
    <w:rsid w:val="6B5F34DB"/>
    <w:rsid w:val="6B707214"/>
    <w:rsid w:val="6B8071B3"/>
    <w:rsid w:val="6B8C7291"/>
    <w:rsid w:val="6B9C69D2"/>
    <w:rsid w:val="6BB104FC"/>
    <w:rsid w:val="6BC75657"/>
    <w:rsid w:val="6BD126F0"/>
    <w:rsid w:val="6BE1773A"/>
    <w:rsid w:val="6BE35659"/>
    <w:rsid w:val="6C2B66F7"/>
    <w:rsid w:val="6C5437FF"/>
    <w:rsid w:val="6C56491E"/>
    <w:rsid w:val="6C5B64F3"/>
    <w:rsid w:val="6C872F0E"/>
    <w:rsid w:val="6CB84F3A"/>
    <w:rsid w:val="6D05726A"/>
    <w:rsid w:val="6D340FE2"/>
    <w:rsid w:val="6D5172EC"/>
    <w:rsid w:val="6D673555"/>
    <w:rsid w:val="6D717C1E"/>
    <w:rsid w:val="6D835CA4"/>
    <w:rsid w:val="6D91263F"/>
    <w:rsid w:val="6D92611A"/>
    <w:rsid w:val="6D981B81"/>
    <w:rsid w:val="6D994274"/>
    <w:rsid w:val="6DA0764D"/>
    <w:rsid w:val="6DA9204B"/>
    <w:rsid w:val="6DB90857"/>
    <w:rsid w:val="6DC267F1"/>
    <w:rsid w:val="6E032FC6"/>
    <w:rsid w:val="6E083615"/>
    <w:rsid w:val="6E0D26B4"/>
    <w:rsid w:val="6E146DCC"/>
    <w:rsid w:val="6E360FB8"/>
    <w:rsid w:val="6E44084F"/>
    <w:rsid w:val="6E4F3DA5"/>
    <w:rsid w:val="6E5D06EF"/>
    <w:rsid w:val="6E6F0BB4"/>
    <w:rsid w:val="6E6F1D57"/>
    <w:rsid w:val="6E7A62E4"/>
    <w:rsid w:val="6E9D2927"/>
    <w:rsid w:val="6EB25B0B"/>
    <w:rsid w:val="6EB80BA0"/>
    <w:rsid w:val="6ED37D90"/>
    <w:rsid w:val="6EE964AB"/>
    <w:rsid w:val="6EEE36C0"/>
    <w:rsid w:val="6F00046B"/>
    <w:rsid w:val="6F065AB6"/>
    <w:rsid w:val="6F3364F9"/>
    <w:rsid w:val="6F441647"/>
    <w:rsid w:val="6F4D0F66"/>
    <w:rsid w:val="6F505503"/>
    <w:rsid w:val="6F57424B"/>
    <w:rsid w:val="6F612830"/>
    <w:rsid w:val="6F786B62"/>
    <w:rsid w:val="6F9E5543"/>
    <w:rsid w:val="6FD10B10"/>
    <w:rsid w:val="6FE61F22"/>
    <w:rsid w:val="6FFD00DA"/>
    <w:rsid w:val="70142638"/>
    <w:rsid w:val="70352925"/>
    <w:rsid w:val="70505871"/>
    <w:rsid w:val="7059136B"/>
    <w:rsid w:val="7067165B"/>
    <w:rsid w:val="706B4405"/>
    <w:rsid w:val="70801B07"/>
    <w:rsid w:val="70837266"/>
    <w:rsid w:val="709A7A5C"/>
    <w:rsid w:val="70A03182"/>
    <w:rsid w:val="70A1406F"/>
    <w:rsid w:val="70B0465E"/>
    <w:rsid w:val="70FE623D"/>
    <w:rsid w:val="71233682"/>
    <w:rsid w:val="71492A71"/>
    <w:rsid w:val="715251C2"/>
    <w:rsid w:val="715B3C2A"/>
    <w:rsid w:val="717A163C"/>
    <w:rsid w:val="71803C89"/>
    <w:rsid w:val="718507A9"/>
    <w:rsid w:val="71994E64"/>
    <w:rsid w:val="71CA7676"/>
    <w:rsid w:val="71E05943"/>
    <w:rsid w:val="71EA7695"/>
    <w:rsid w:val="71EE7FB9"/>
    <w:rsid w:val="72536FDC"/>
    <w:rsid w:val="726D181E"/>
    <w:rsid w:val="727D75DF"/>
    <w:rsid w:val="72A63925"/>
    <w:rsid w:val="72BA42B3"/>
    <w:rsid w:val="72BB74DD"/>
    <w:rsid w:val="72CC013F"/>
    <w:rsid w:val="72D36E77"/>
    <w:rsid w:val="72DD2BAD"/>
    <w:rsid w:val="72FB66FD"/>
    <w:rsid w:val="73020D5E"/>
    <w:rsid w:val="732872C5"/>
    <w:rsid w:val="733A0808"/>
    <w:rsid w:val="7360086A"/>
    <w:rsid w:val="739A0DC0"/>
    <w:rsid w:val="73B920B2"/>
    <w:rsid w:val="74085669"/>
    <w:rsid w:val="740A4EF9"/>
    <w:rsid w:val="74412921"/>
    <w:rsid w:val="74594423"/>
    <w:rsid w:val="7475710D"/>
    <w:rsid w:val="747621BD"/>
    <w:rsid w:val="74E60A71"/>
    <w:rsid w:val="74F17E67"/>
    <w:rsid w:val="74F75B59"/>
    <w:rsid w:val="750337C6"/>
    <w:rsid w:val="75086A21"/>
    <w:rsid w:val="750B356A"/>
    <w:rsid w:val="750C4DDC"/>
    <w:rsid w:val="7510569F"/>
    <w:rsid w:val="756950CA"/>
    <w:rsid w:val="75922EAF"/>
    <w:rsid w:val="759C3F60"/>
    <w:rsid w:val="75AD28A1"/>
    <w:rsid w:val="75C224B9"/>
    <w:rsid w:val="76013E56"/>
    <w:rsid w:val="760A7D9D"/>
    <w:rsid w:val="76233B7C"/>
    <w:rsid w:val="76335855"/>
    <w:rsid w:val="763E51CC"/>
    <w:rsid w:val="76465F91"/>
    <w:rsid w:val="766026E6"/>
    <w:rsid w:val="766846C5"/>
    <w:rsid w:val="76B770A6"/>
    <w:rsid w:val="76CE7275"/>
    <w:rsid w:val="76E4362B"/>
    <w:rsid w:val="770070AD"/>
    <w:rsid w:val="770A1659"/>
    <w:rsid w:val="7711659E"/>
    <w:rsid w:val="7712242B"/>
    <w:rsid w:val="771F60E4"/>
    <w:rsid w:val="77231D40"/>
    <w:rsid w:val="773A7A8E"/>
    <w:rsid w:val="77466345"/>
    <w:rsid w:val="77471485"/>
    <w:rsid w:val="776E33FB"/>
    <w:rsid w:val="77825F67"/>
    <w:rsid w:val="77951211"/>
    <w:rsid w:val="77B91A42"/>
    <w:rsid w:val="77C5780E"/>
    <w:rsid w:val="77E26D03"/>
    <w:rsid w:val="77FE04E7"/>
    <w:rsid w:val="782F327E"/>
    <w:rsid w:val="78397A32"/>
    <w:rsid w:val="78A06277"/>
    <w:rsid w:val="78C64F8E"/>
    <w:rsid w:val="78D538AA"/>
    <w:rsid w:val="79105016"/>
    <w:rsid w:val="791A1EB8"/>
    <w:rsid w:val="791E4FA3"/>
    <w:rsid w:val="797167CA"/>
    <w:rsid w:val="798E4E1E"/>
    <w:rsid w:val="799E2AB3"/>
    <w:rsid w:val="79A37A59"/>
    <w:rsid w:val="79C61A14"/>
    <w:rsid w:val="79C85435"/>
    <w:rsid w:val="79D16AD3"/>
    <w:rsid w:val="79D749AE"/>
    <w:rsid w:val="79EE5B89"/>
    <w:rsid w:val="79F05A1B"/>
    <w:rsid w:val="7A020CA3"/>
    <w:rsid w:val="7A067805"/>
    <w:rsid w:val="7A3666CE"/>
    <w:rsid w:val="7A376AEF"/>
    <w:rsid w:val="7A3E570B"/>
    <w:rsid w:val="7A4B2A2F"/>
    <w:rsid w:val="7A627545"/>
    <w:rsid w:val="7A811C50"/>
    <w:rsid w:val="7AA408FA"/>
    <w:rsid w:val="7B123707"/>
    <w:rsid w:val="7B236D19"/>
    <w:rsid w:val="7B307625"/>
    <w:rsid w:val="7B347CEC"/>
    <w:rsid w:val="7B576B4E"/>
    <w:rsid w:val="7B761608"/>
    <w:rsid w:val="7B87133C"/>
    <w:rsid w:val="7B9234A2"/>
    <w:rsid w:val="7BCA404B"/>
    <w:rsid w:val="7C105077"/>
    <w:rsid w:val="7C240B22"/>
    <w:rsid w:val="7C3810A9"/>
    <w:rsid w:val="7C416F95"/>
    <w:rsid w:val="7C4E5B9F"/>
    <w:rsid w:val="7C580760"/>
    <w:rsid w:val="7C8B3404"/>
    <w:rsid w:val="7C8D6ADA"/>
    <w:rsid w:val="7C9C47E0"/>
    <w:rsid w:val="7C9E070C"/>
    <w:rsid w:val="7CA773FF"/>
    <w:rsid w:val="7CAC5CE3"/>
    <w:rsid w:val="7CAE22D0"/>
    <w:rsid w:val="7CBB152F"/>
    <w:rsid w:val="7D2C343C"/>
    <w:rsid w:val="7D4C3183"/>
    <w:rsid w:val="7D5D12E3"/>
    <w:rsid w:val="7D5F378A"/>
    <w:rsid w:val="7D9314F6"/>
    <w:rsid w:val="7D9B2963"/>
    <w:rsid w:val="7D9C06C0"/>
    <w:rsid w:val="7DBE5AB2"/>
    <w:rsid w:val="7DDB441F"/>
    <w:rsid w:val="7E4B1AB3"/>
    <w:rsid w:val="7E58216F"/>
    <w:rsid w:val="7E58478A"/>
    <w:rsid w:val="7E70415D"/>
    <w:rsid w:val="7E7F1745"/>
    <w:rsid w:val="7E886BD8"/>
    <w:rsid w:val="7E922F1E"/>
    <w:rsid w:val="7E9C1A45"/>
    <w:rsid w:val="7EEF7176"/>
    <w:rsid w:val="7EF618DD"/>
    <w:rsid w:val="7F044E27"/>
    <w:rsid w:val="7F5D7752"/>
    <w:rsid w:val="7F7A668F"/>
    <w:rsid w:val="7F7C1BAA"/>
    <w:rsid w:val="7F91228D"/>
    <w:rsid w:val="7F980D98"/>
    <w:rsid w:val="7FA669B9"/>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0"/>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8"/>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1"/>
    <w:autoRedefine/>
    <w:unhideWhenUsed/>
    <w:qFormat/>
    <w:uiPriority w:val="99"/>
    <w:pPr>
      <w:tabs>
        <w:tab w:val="center" w:pos="4153"/>
        <w:tab w:val="right" w:pos="8306"/>
      </w:tabs>
      <w:snapToGrid w:val="0"/>
      <w:jc w:val="left"/>
    </w:pPr>
    <w:rPr>
      <w:sz w:val="18"/>
      <w:szCs w:val="18"/>
    </w:rPr>
  </w:style>
  <w:style w:type="paragraph" w:styleId="11">
    <w:name w:val="header"/>
    <w:basedOn w:val="1"/>
    <w:link w:val="2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14">
    <w:name w:val="annotation subject"/>
    <w:basedOn w:val="8"/>
    <w:next w:val="8"/>
    <w:link w:val="29"/>
    <w:autoRedefine/>
    <w:semiHidden/>
    <w:unhideWhenUsed/>
    <w:qFormat/>
    <w:uiPriority w:val="99"/>
    <w:rPr>
      <w:b/>
      <w:bCs/>
    </w:rPr>
  </w:style>
  <w:style w:type="table" w:styleId="16">
    <w:name w:val="Table Grid"/>
    <w:basedOn w:val="15"/>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autoRedefine/>
    <w:qFormat/>
    <w:uiPriority w:val="99"/>
    <w:rPr>
      <w:color w:val="0000FF"/>
      <w:u w:val="single"/>
    </w:rPr>
  </w:style>
  <w:style w:type="character" w:styleId="19">
    <w:name w:val="annotation reference"/>
    <w:basedOn w:val="17"/>
    <w:autoRedefine/>
    <w:qFormat/>
    <w:uiPriority w:val="0"/>
    <w:rPr>
      <w:sz w:val="21"/>
      <w:szCs w:val="21"/>
    </w:rPr>
  </w:style>
  <w:style w:type="character" w:customStyle="1" w:styleId="20">
    <w:name w:val="页眉 字符"/>
    <w:basedOn w:val="17"/>
    <w:link w:val="11"/>
    <w:autoRedefine/>
    <w:qFormat/>
    <w:uiPriority w:val="99"/>
    <w:rPr>
      <w:sz w:val="18"/>
      <w:szCs w:val="18"/>
    </w:rPr>
  </w:style>
  <w:style w:type="character" w:customStyle="1" w:styleId="21">
    <w:name w:val="页脚 字符"/>
    <w:basedOn w:val="17"/>
    <w:link w:val="10"/>
    <w:autoRedefine/>
    <w:qFormat/>
    <w:uiPriority w:val="99"/>
    <w:rPr>
      <w:sz w:val="18"/>
      <w:szCs w:val="18"/>
    </w:rPr>
  </w:style>
  <w:style w:type="paragraph" w:customStyle="1" w:styleId="22">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3">
    <w:name w:val="TF"/>
    <w:basedOn w:val="22"/>
    <w:autoRedefine/>
    <w:qFormat/>
    <w:uiPriority w:val="0"/>
    <w:pPr>
      <w:keepNext w:val="0"/>
      <w:spacing w:before="0" w:after="240"/>
    </w:pPr>
  </w:style>
  <w:style w:type="paragraph" w:styleId="24">
    <w:name w:val="List Paragraph"/>
    <w:basedOn w:val="1"/>
    <w:autoRedefine/>
    <w:qFormat/>
    <w:uiPriority w:val="34"/>
    <w:pPr>
      <w:ind w:firstLine="420" w:firstLineChars="200"/>
    </w:pPr>
  </w:style>
  <w:style w:type="paragraph" w:customStyle="1" w:styleId="25">
    <w:name w:val="B1"/>
    <w:basedOn w:val="12"/>
    <w:autoRedefine/>
    <w:qFormat/>
    <w:uiPriority w:val="0"/>
  </w:style>
  <w:style w:type="paragraph" w:customStyle="1" w:styleId="26">
    <w:name w:val="Doc-text2"/>
    <w:basedOn w:val="1"/>
    <w:autoRedefine/>
    <w:qFormat/>
    <w:uiPriority w:val="0"/>
    <w:pPr>
      <w:tabs>
        <w:tab w:val="left" w:pos="1622"/>
      </w:tabs>
      <w:ind w:left="1622" w:hanging="363"/>
      <w:jc w:val="left"/>
    </w:pPr>
    <w:rPr>
      <w:rFonts w:eastAsia="MS Mincho"/>
      <w:szCs w:val="24"/>
    </w:rPr>
  </w:style>
  <w:style w:type="paragraph" w:customStyle="1" w:styleId="27">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7"/>
    <w:link w:val="8"/>
    <w:autoRedefine/>
    <w:qFormat/>
    <w:uiPriority w:val="99"/>
    <w:rPr>
      <w:kern w:val="2"/>
      <w:sz w:val="21"/>
      <w:szCs w:val="22"/>
    </w:rPr>
  </w:style>
  <w:style w:type="character" w:customStyle="1" w:styleId="29">
    <w:name w:val="批注主题 字符"/>
    <w:basedOn w:val="28"/>
    <w:link w:val="14"/>
    <w:autoRedefine/>
    <w:semiHidden/>
    <w:qFormat/>
    <w:uiPriority w:val="99"/>
    <w:rPr>
      <w:b/>
      <w:bCs/>
      <w:kern w:val="2"/>
      <w:sz w:val="21"/>
      <w:szCs w:val="22"/>
    </w:rPr>
  </w:style>
  <w:style w:type="character" w:customStyle="1" w:styleId="30">
    <w:name w:val="标题 4 字符"/>
    <w:link w:val="5"/>
    <w:autoRedefine/>
    <w:qFormat/>
    <w:uiPriority w:val="9"/>
    <w:rPr>
      <w:i/>
    </w:rPr>
  </w:style>
  <w:style w:type="paragraph" w:customStyle="1" w:styleId="31">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2">
    <w:name w:val="Comments"/>
    <w:basedOn w:val="1"/>
    <w:autoRedefine/>
    <w:qFormat/>
    <w:uiPriority w:val="0"/>
    <w:rPr>
      <w:i/>
      <w:sz w:val="18"/>
    </w:rPr>
  </w:style>
  <w:style w:type="paragraph" w:customStyle="1" w:styleId="33">
    <w:name w:val="Agreement"/>
    <w:basedOn w:val="1"/>
    <w:next w:val="26"/>
    <w:autoRedefine/>
    <w:qFormat/>
    <w:uiPriority w:val="0"/>
    <w:pPr>
      <w:numPr>
        <w:ilvl w:val="0"/>
        <w:numId w:val="4"/>
      </w:numPr>
      <w:tabs>
        <w:tab w:val="left" w:pos="1619"/>
        <w:tab w:val="clear" w:pos="1352"/>
      </w:tabs>
      <w:spacing w:before="60"/>
      <w:ind w:left="1619"/>
    </w:pPr>
    <w:rPr>
      <w:b/>
    </w:rPr>
  </w:style>
  <w:style w:type="character" w:customStyle="1" w:styleId="34">
    <w:name w:val="ui-provider"/>
    <w:basedOn w:val="17"/>
    <w:autoRedefine/>
    <w:qFormat/>
    <w:uiPriority w:val="0"/>
  </w:style>
  <w:style w:type="paragraph" w:customStyle="1" w:styleId="35">
    <w:name w:val="pf0"/>
    <w:basedOn w:val="1"/>
    <w:autoRedefine/>
    <w:qFormat/>
    <w:uiPriority w:val="0"/>
    <w:pPr>
      <w:spacing w:before="100" w:beforeAutospacing="1" w:after="100" w:afterAutospacing="1"/>
    </w:pPr>
    <w:rPr>
      <w:sz w:val="24"/>
      <w:szCs w:val="24"/>
      <w:lang w:eastAsia="ko-KR"/>
    </w:rPr>
  </w:style>
  <w:style w:type="paragraph" w:customStyle="1" w:styleId="36">
    <w:name w:val="B2"/>
    <w:basedOn w:val="1"/>
    <w:autoRedefine/>
    <w:qFormat/>
    <w:uiPriority w:val="0"/>
    <w:pPr>
      <w:ind w:left="851" w:hanging="284"/>
    </w:pPr>
  </w:style>
  <w:style w:type="paragraph" w:customStyle="1" w:styleId="37">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8">
    <w:name w:val="NO"/>
    <w:basedOn w:val="1"/>
    <w:autoRedefine/>
    <w:qFormat/>
    <w:uiPriority w:val="0"/>
    <w:pPr>
      <w:keepLines/>
      <w:ind w:left="1135" w:hanging="851"/>
    </w:pPr>
  </w:style>
  <w:style w:type="paragraph" w:customStyle="1" w:styleId="3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2139</Words>
  <Characters>11094</Characters>
  <Lines>49</Lines>
  <Paragraphs>13</Paragraphs>
  <TotalTime>712</TotalTime>
  <ScaleCrop>false</ScaleCrop>
  <LinksUpToDate>false</LinksUpToDate>
  <CharactersWithSpaces>13139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2025-02-07T03:13:43Z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E346FD64F53D4052BB0744581F62DBD2_13</vt:lpwstr>
  </property>
  <property fmtid="{D5CDD505-2E9C-101B-9397-08002B2CF9AE}" pid="4" name="KSOTemplateDocerSaveRecord">
    <vt:lpwstr>eyJoZGlkIjoiMzEwNTM5NzYwMDRjMzkwZTVkZjY2ODkwMGIxNGU0OTUiLCJ1c2VySWQiOiI1MDQ0ODU3MTMifQ==</vt:lpwstr>
  </property>
</Properties>
</file>